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0"/>
        <w:bidi w:val="0"/>
        <w:spacing w:lineRule="exact" w:line="322" w:before="0" w:after="0"/>
        <w:ind w:left="0" w:right="20" w:hanging="0"/>
        <w:rPr>
          <w:rStyle w:val="115pt1"/>
          <w:rFonts w:ascii="Courier New" w:hAnsi="Courier New"/>
          <w:b w:val="false"/>
          <w:b w:val="false"/>
          <w:color w:val="000000"/>
          <w:sz w:val="27"/>
          <w:szCs w:val="27"/>
          <w:u w:val="none"/>
          <w:lang w:val="ru-RU" w:eastAsia="ru-RU" w:bidi="ar-SA"/>
        </w:rPr>
      </w:pPr>
      <w:r>
        <w:rPr>
          <w:b w:val="false"/>
          <w:color w:val="000000"/>
          <w:sz w:val="27"/>
          <w:szCs w:val="27"/>
          <w:u w:val="none"/>
          <w:lang w:val="ru-RU" w:eastAsia="ru-RU" w:bidi="ar-SA"/>
        </w:rPr>
      </w:r>
    </w:p>
    <w:p>
      <w:pPr>
        <w:pStyle w:val="Style20"/>
        <w:bidi w:val="0"/>
        <w:spacing w:lineRule="exact" w:line="322" w:before="0" w:after="0"/>
        <w:ind w:left="0" w:right="20" w:hanging="0"/>
        <w:rPr>
          <w:rStyle w:val="115pt1"/>
          <w:rFonts w:ascii="Courier New" w:hAnsi="Courier New"/>
          <w:b w:val="false"/>
          <w:b w:val="false"/>
          <w:color w:val="000000"/>
          <w:sz w:val="27"/>
          <w:szCs w:val="27"/>
          <w:u w:val="none"/>
          <w:lang w:val="ru-RU" w:eastAsia="ru-RU" w:bidi="ar-SA"/>
        </w:rPr>
      </w:pPr>
      <w:r>
        <w:rPr>
          <w:b w:val="false"/>
          <w:color w:val="000000"/>
          <w:sz w:val="27"/>
          <w:szCs w:val="27"/>
          <w:u w:val="none"/>
          <w:lang w:val="ru-RU" w:eastAsia="ru-RU" w:bidi="ar-SA"/>
        </w:rPr>
      </w:r>
    </w:p>
    <w:p>
      <w:pPr>
        <w:pStyle w:val="Normal"/>
        <w:widowControl/>
        <w:bidi w:val="0"/>
        <w:ind w:left="0" w:right="0" w:hanging="0"/>
        <w:rPr>
          <w:rFonts w:ascii="Times New Roman" w:hAnsi="Times New Roman" w:cs="Times New Roman"/>
          <w:color w:val="auto"/>
          <w:sz w:val="26"/>
          <w:szCs w:val="26"/>
          <w:lang w:eastAsia="en-US"/>
        </w:rPr>
      </w:pPr>
      <w:r>
        <w:rPr/>
        <w:drawing>
          <wp:inline distT="0" distB="0" distL="0" distR="0">
            <wp:extent cx="6753860" cy="786701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2022 год</w:t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rPr>
          <w:rStyle w:val="4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трудоемкость ППКРС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 xml:space="preserve">тельного процесса при реализации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6"/>
          <w:szCs w:val="26"/>
        </w:rPr>
        <w:t xml:space="preserve"> 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</w:t>
      </w:r>
    </w:p>
    <w:p>
      <w:pPr>
        <w:pStyle w:val="Style20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20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Итоговая государственная а</w:t>
      </w:r>
      <w:bookmarkStart w:id="0" w:name="bookmark1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ттестация выпускников ППКРС СПО</w:t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/>
      </w:pPr>
      <w:r>
        <w:rPr/>
      </w:r>
      <w:bookmarkStart w:id="1" w:name="bookmark0"/>
      <w:bookmarkStart w:id="2" w:name="bookmark0"/>
      <w:bookmarkEnd w:id="0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bookmarkStart w:id="3" w:name="bookmark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3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4" w:name="bookmark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4"/>
    </w:p>
    <w:p>
      <w:pPr>
        <w:pStyle w:val="Style20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Программа подготовки квалифицированных рабочих и служащих (ППКРС)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реализуется ГПОАУ АМФЦПК по программе базовой подготовки на базе основного общего образования.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>жденную Центром с учетом требований регионального рынка труда на основе Федерального государственного образовательного стандарта среднего професси</w:t>
        <w:softHyphen/>
        <w:t xml:space="preserve">онального образования (ФГОС СПО) по профессии </w:t>
      </w:r>
      <w:r>
        <w:rPr>
          <w:rFonts w:cs="Times New Roman"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, утвержденного приказом Министерства образования и науки Российской Федерации</w:t>
      </w:r>
      <w:r>
        <w:rPr>
          <w:rFonts w:cs="Times New Roman" w:ascii="Times New Roman" w:hAnsi="Times New Roman"/>
          <w:sz w:val="28"/>
          <w:szCs w:val="28"/>
          <w:lang w:eastAsia="en-US"/>
        </w:rPr>
        <w:t>№1581 от 09.12.2016г.</w:t>
      </w:r>
    </w:p>
    <w:p>
      <w:pPr>
        <w:pStyle w:val="Style20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20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20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колледжа.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5" w:name="bookmark3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5"/>
    </w:p>
    <w:p>
      <w:pPr>
        <w:pStyle w:val="22"/>
        <w:bidi w:val="0"/>
        <w:spacing w:before="0" w:after="0"/>
        <w:ind w:left="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Нормативную основу разработки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b w:val="false"/>
          <w:sz w:val="26"/>
          <w:szCs w:val="26"/>
        </w:rPr>
        <w:t>)</w:t>
      </w: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составляют:</w:t>
      </w:r>
      <w:r>
        <w:rPr>
          <w:b w:val="false"/>
        </w:rPr>
        <w:t xml:space="preserve"> </w:t>
      </w:r>
    </w:p>
    <w:p>
      <w:pPr>
        <w:pStyle w:val="Style20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закон Российской Федерации от 29 декабря 2012 года № 273-ФЗ «Об образовании в Российской Федерации»;</w:t>
      </w:r>
    </w:p>
    <w:p>
      <w:pPr>
        <w:pStyle w:val="Normal"/>
        <w:bidi w:val="0"/>
        <w:ind w:left="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- </w:t>
      </w:r>
      <w:r>
        <w:rPr>
          <w:rFonts w:cs="Times New Roman" w:ascii="Times New Roman" w:hAnsi="Times New Roman"/>
          <w:sz w:val="28"/>
          <w:szCs w:val="28"/>
          <w:lang w:eastAsia="en-US"/>
        </w:rPr>
        <w:t>федерального государственного образовательного стандарта по профессии (далее ФГОС) среднего профессионального образования (далее СПО) 23.01.17 Мастер по ремонту и обслуживанию автомобилей, утвержденного приказом Министерства образования и науки Российской Федерации №1581 от 09.12.2016г.;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- приказа Министерства образования и науки Российской Федерации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18 апреля 2013г.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16 августа 2013г.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23 августа 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- федерального государственного образовательного стандарта среднего общего образования, реализуемого в пределах ОПОП с учётом профиля получаемого профессионального образования (утв. приказом Министерства образования и науки Российской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Федерации от 17 мая 2012г. № 413)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; 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Минтруда России от 23 марта 2015 г.№187н «Об утверждении профессионального стандарта «Специалист по техническому диагностированию и контролю технического состояния автотранспортных средств при периодическом техническом осмотре»;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примерной основной образовательной программы среднего профессионального образования по профессии 23.01.17 Мастер по ремонту и обслуживанию автомобилей;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- приказа Министерства образования и науки Российской Федерации от 23 августа 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>
      <w:pPr>
        <w:pStyle w:val="Style20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Минобразования и науки РФ от 26 ноября 2009г.№674; ФЗ «О воинской обязанности и военной службе от 28 марта 1998г.№53»;</w:t>
      </w:r>
    </w:p>
    <w:p>
      <w:pPr>
        <w:pStyle w:val="Style20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(Зарегистрировано в Минюсте РФ 12 апреля 2010 № 16866);</w:t>
      </w:r>
    </w:p>
    <w:p>
      <w:pPr>
        <w:pStyle w:val="Style20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Устав ГПОАУ АМФЦПК;</w:t>
      </w:r>
    </w:p>
    <w:p>
      <w:pPr>
        <w:pStyle w:val="Style20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20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текущем контроле знаний и промежуточной аттестации обучающихся;</w:t>
      </w:r>
    </w:p>
    <w:p>
      <w:pPr>
        <w:pStyle w:val="Style20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об учебной и производственной практике, осваивающих ППКРС;</w:t>
      </w:r>
    </w:p>
    <w:p>
      <w:pPr>
        <w:pStyle w:val="Style20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270" w:before="0" w:after="0"/>
        <w:ind w:left="740" w:right="0" w:hanging="0"/>
        <w:jc w:val="both"/>
        <w:rPr/>
      </w:pPr>
      <w:bookmarkStart w:id="6" w:name="bookmark4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6"/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Выпускник Центра в результате освоения ППКРС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 будет профессионально готов к деятельности по </w:t>
      </w:r>
      <w:r>
        <w:rPr>
          <w:rFonts w:ascii="Times New Roman" w:hAnsi="Times New Roman"/>
          <w:sz w:val="28"/>
          <w:szCs w:val="28"/>
          <w:shd w:fill="FFFFFF" w:val="clear"/>
        </w:rPr>
        <w:t>проведению технического обслуживания и ремонта автомобилей.</w:t>
      </w:r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приоритет практика ориентированных знаний выпускника;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ориентация на развитие местного и регионального сообщества;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готовности принимать решения и профессионально действовать в нестандартных ситуациях.</w:t>
      </w:r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Нормативные сроки освоения программы подготовки квалифицированных рабочих и слушающих среднего профессионального образования базовой подготовки квалифицированных рабочих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очной форме получения образования и присваиваемая квалификация приводятся в таблице.</w:t>
      </w:r>
    </w:p>
    <w:p>
      <w:pPr>
        <w:pStyle w:val="Style20"/>
        <w:bidi w:val="0"/>
        <w:spacing w:before="0" w:after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W w:w="10296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3235"/>
        <w:gridCol w:w="3624"/>
        <w:gridCol w:w="3437"/>
      </w:tblGrid>
      <w:tr>
        <w:trPr>
          <w:trHeight w:val="1301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70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база приема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70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72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 получения СПО по ППКРС в очной форме обучения</w:t>
            </w:r>
          </w:p>
        </w:tc>
      </w:tr>
      <w:tr>
        <w:trPr>
          <w:trHeight w:val="653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70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на базе среднего общего образования</w:t>
            </w:r>
          </w:p>
        </w:tc>
        <w:tc>
          <w:tcPr>
            <w:tcW w:w="3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Слесарь по ремонту автомобилей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Водитель автомобиля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10 месяцев</w:t>
            </w:r>
          </w:p>
        </w:tc>
      </w:tr>
      <w:tr>
        <w:trPr>
          <w:trHeight w:val="1099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firstLine="70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3624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2 года 10 месяцев</w:t>
            </w:r>
          </w:p>
        </w:tc>
      </w:tr>
    </w:tbl>
    <w:p>
      <w:pPr>
        <w:pStyle w:val="Style20"/>
        <w:widowControl w:val="false"/>
        <w:bidi w:val="0"/>
        <w:spacing w:before="0" w:after="0"/>
        <w:ind w:left="0" w:right="318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tbl>
      <w:tblPr>
        <w:tblW w:w="110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408"/>
        <w:gridCol w:w="1180"/>
        <w:gridCol w:w="1980"/>
        <w:gridCol w:w="1696"/>
        <w:gridCol w:w="1528"/>
        <w:gridCol w:w="1191"/>
        <w:gridCol w:w="1164"/>
      </w:tblGrid>
      <w:tr>
        <w:trPr/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Курсы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Государственная (итоговая) аттестация</w:t>
            </w:r>
          </w:p>
        </w:tc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Каникулы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Всего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(по курсам)</w:t>
            </w:r>
          </w:p>
        </w:tc>
      </w:tr>
      <w:tr>
        <w:trPr/>
        <w:tc>
          <w:tcPr>
            <w:tcW w:w="9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по профилю профессии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</w:r>
          </w:p>
        </w:tc>
        <w:tc>
          <w:tcPr>
            <w:tcW w:w="16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5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8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29,8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32,8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bCs/>
                <w:lang w:val="en-US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14,4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2,6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43</w:t>
            </w:r>
          </w:p>
        </w:tc>
      </w:tr>
      <w:tr>
        <w:trPr/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</w:rPr>
              <w:t>Всего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147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239" w:after="0"/>
        <w:ind w:left="120" w:right="0" w:firstLine="740"/>
        <w:rPr/>
      </w:pPr>
      <w:bookmarkStart w:id="7" w:name="bookmark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  <w:bookmarkEnd w:id="7"/>
    </w:p>
    <w:p>
      <w:pPr>
        <w:pStyle w:val="22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Абитуриент должен предоставить в приемную комиссию документы государственного образца: оригинал и/или ксерокопию документов, удостоверяющих его личность, гражданство; аттестат об основном общем образовании;</w:t>
      </w:r>
    </w:p>
    <w:p>
      <w:pPr>
        <w:pStyle w:val="22"/>
        <w:numPr>
          <w:ilvl w:val="0"/>
          <w:numId w:val="5"/>
        </w:numPr>
        <w:tabs>
          <w:tab w:val="clear" w:pos="720"/>
          <w:tab w:val="left" w:pos="1912" w:leader="none"/>
        </w:tabs>
        <w:bidi w:val="0"/>
        <w:spacing w:before="0" w:after="0"/>
        <w:ind w:left="0" w:right="0" w:hanging="360"/>
        <w:jc w:val="left"/>
        <w:rPr/>
      </w:pPr>
      <w:r>
        <w:rPr>
          <w:rFonts w:ascii="Times New Roman" w:hAnsi="Times New Roman"/>
          <w:b w:val="false"/>
          <w:sz w:val="28"/>
          <w:szCs w:val="28"/>
        </w:rPr>
        <w:t>оригинал и/или ксерокопию документа об образовании и /или квалификации;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0" w:after="0"/>
        <w:ind w:left="120" w:right="0" w:firstLine="740"/>
        <w:jc w:val="both"/>
        <w:rPr/>
      </w:pPr>
      <w:bookmarkStart w:id="8" w:name="bookmark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  <w:bookmarkEnd w:id="8"/>
    </w:p>
    <w:p>
      <w:pPr>
        <w:pStyle w:val="Style20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Выпускники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8"/>
          <w:szCs w:val="28"/>
        </w:rPr>
        <w:t xml:space="preserve"> востребованы на предприятиях г. Белогорска и области: Автоцентр «Автолайф»; ИП Славков «Синий Бокс»; СТО «Шиномонтаж»; СТО «Белые росы».</w:t>
      </w:r>
    </w:p>
    <w:p>
      <w:pPr>
        <w:pStyle w:val="Style20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sz w:val="28"/>
          <w:szCs w:val="28"/>
          <w:u w:val="none"/>
          <w:lang w:val="ru-RU" w:eastAsia="ru-RU" w:bidi="ar-SA"/>
        </w:rPr>
        <w:t xml:space="preserve">Основные пользователи ППКРС СПО </w:t>
      </w:r>
    </w:p>
    <w:p>
      <w:pPr>
        <w:pStyle w:val="Style20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преподаватели, сотрудники ГПОАУ АМФЦПК, 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студенты, обучающиеся по профессии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, первого, второго, третьего курсов;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администрация и органы коллективного управления центром: студенческий совет, родительский совет;</w:t>
      </w:r>
    </w:p>
    <w:p>
      <w:pPr>
        <w:pStyle w:val="Style20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9" w:name="bookmark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9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bookmarkStart w:id="10" w:name="bookmark8"/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выпускника.</w:t>
      </w:r>
      <w:bookmarkEnd w:id="10"/>
    </w:p>
    <w:p>
      <w:pPr>
        <w:pStyle w:val="Normal"/>
        <w:bidi w:val="0"/>
        <w:ind w:left="0" w:right="0" w:hanging="0"/>
        <w:rPr/>
      </w:pPr>
      <w:r>
        <w:rPr>
          <w:rStyle w:val="115pt1"/>
          <w:b w:val="false"/>
          <w:color w:val="auto"/>
          <w:sz w:val="28"/>
          <w:szCs w:val="28"/>
          <w:u w:val="none"/>
          <w:lang w:val="ru-RU" w:eastAsia="ru-RU" w:bidi="ar-SA"/>
        </w:rPr>
        <w:t xml:space="preserve">Основной областью профессиональной деятельности выпускников является </w:t>
      </w:r>
      <w:r>
        <w:rPr>
          <w:rFonts w:cs="Times New Roman CYR" w:ascii="Times New Roman CYR" w:hAnsi="Times New Roman CYR"/>
          <w:color w:val="auto"/>
          <w:sz w:val="28"/>
          <w:szCs w:val="28"/>
        </w:rPr>
        <w:t>определять техническое состояние систем, агрегатов, деталей и механизмов автомобиля;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 CYR" w:ascii="Times New Roman CYR" w:hAnsi="Times New Roman CYR"/>
          <w:color w:val="auto"/>
          <w:sz w:val="28"/>
          <w:szCs w:val="28"/>
        </w:rPr>
        <w:t>осуществлять техническое обслуживание автотранспорта согласно требованиям нормативно-технической документации;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 CYR" w:ascii="Times New Roman CYR" w:hAnsi="Times New Roman CYR"/>
          <w:color w:val="auto"/>
          <w:sz w:val="28"/>
          <w:szCs w:val="28"/>
        </w:rPr>
        <w:t>производить текущий ремонт различных типов автомобилей в соответствии с требованиями технологической документации.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6"/>
        <w:ind w:left="40" w:right="0" w:firstLine="680"/>
        <w:jc w:val="both"/>
        <w:rPr/>
      </w:pPr>
      <w:bookmarkStart w:id="11" w:name="bookmark10"/>
      <w:r>
        <w:rPr>
          <w:rStyle w:val="21"/>
          <w:b/>
          <w:sz w:val="28"/>
          <w:szCs w:val="28"/>
          <w:u w:val="none"/>
          <w:lang w:val="ru-RU" w:eastAsia="ru-RU" w:bidi="ar-SA"/>
        </w:rPr>
        <w:t>Виды профессиональной деятельности выпускника</w:t>
      </w:r>
      <w:bookmarkEnd w:id="11"/>
    </w:p>
    <w:p>
      <w:pPr>
        <w:pStyle w:val="ListParagraph"/>
        <w:numPr>
          <w:ilvl w:val="0"/>
          <w:numId w:val="6"/>
        </w:numPr>
        <w:bidi w:val="0"/>
        <w:ind w:left="144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Определять техническое состояние систем, агрегатов, деталей и механизмов автомобиля</w:t>
      </w:r>
    </w:p>
    <w:p>
      <w:pPr>
        <w:pStyle w:val="ListParagraph"/>
        <w:numPr>
          <w:ilvl w:val="0"/>
          <w:numId w:val="6"/>
        </w:numPr>
        <w:bidi w:val="0"/>
        <w:ind w:left="144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Осуществлять техническое обслуживание автотранспорта согласно требованиям нормативно-технической документации:</w:t>
      </w:r>
    </w:p>
    <w:p>
      <w:pPr>
        <w:pStyle w:val="ListParagraph"/>
        <w:numPr>
          <w:ilvl w:val="0"/>
          <w:numId w:val="6"/>
        </w:numPr>
        <w:bidi w:val="0"/>
        <w:ind w:left="1440" w:right="0" w:hanging="360"/>
        <w:rPr/>
      </w:pPr>
      <w:r>
        <w:rPr>
          <w:rFonts w:cs="Times New Roman" w:ascii="Times New Roman" w:hAnsi="Times New Roman"/>
          <w:sz w:val="28"/>
          <w:szCs w:val="28"/>
        </w:rPr>
        <w:t>Производить текущий ремонт различных типов автомобилей в соответствии с требованиями технологической документации:</w:t>
      </w:r>
    </w:p>
    <w:p>
      <w:pPr>
        <w:pStyle w:val="Normal"/>
        <w:widowControl/>
        <w:bidi w:val="0"/>
        <w:ind w:left="567" w:right="0" w:hanging="567"/>
        <w:rPr/>
      </w:pPr>
      <w:r>
        <w:rPr>
          <w:rStyle w:val="115pt1"/>
          <w:b w:val="false"/>
          <w:color w:val="FF0000"/>
          <w:sz w:val="28"/>
          <w:szCs w:val="28"/>
          <w:u w:val="none"/>
          <w:lang w:val="ru-RU" w:eastAsia="ru-RU" w:bidi="ar-SA"/>
        </w:rPr>
        <w:t xml:space="preserve">           </w:t>
      </w:r>
      <w:r>
        <w:rPr>
          <w:rStyle w:val="115pt1"/>
          <w:b w:val="false"/>
          <w:color w:val="auto"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выполнению                              следующих видов работ:</w:t>
      </w:r>
      <w:r>
        <w:rPr>
          <w:rFonts w:cs="Times New Roman" w:ascii="Times New Roman" w:hAnsi="Times New Roman"/>
          <w:bCs/>
          <w:iCs/>
          <w:color w:val="auto"/>
          <w:sz w:val="28"/>
          <w:szCs w:val="28"/>
        </w:rPr>
        <w:t xml:space="preserve"> слесарь по ремонту автомобилей; водитель автомобиля</w:t>
      </w:r>
    </w:p>
    <w:p>
      <w:pPr>
        <w:pStyle w:val="Style20"/>
        <w:bidi w:val="0"/>
        <w:spacing w:lineRule="exact" w:line="326" w:before="0" w:after="0"/>
        <w:ind w:left="40" w:right="20" w:hanging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12" w:name="bookmark1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СПО.</w:t>
      </w:r>
      <w:bookmarkEnd w:id="12"/>
    </w:p>
    <w:tbl>
      <w:tblPr>
        <w:tblW w:w="10274" w:type="dxa"/>
        <w:jc w:val="left"/>
        <w:tblInd w:w="-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6"/>
        <w:gridCol w:w="7937"/>
      </w:tblGrid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440" w:right="0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3.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cs="Times New Roman CYR" w:ascii="Times New Roman CYR" w:hAnsi="Times New Roman CYR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38"/>
              <w:rPr/>
            </w:pPr>
            <w:r>
              <w:rPr>
                <w:rFonts w:cs="Times New Roman CYR" w:ascii="Times New Roman CYR" w:hAnsi="Times New Roman CYR"/>
                <w:color w:val="auto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6.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cs="Times New Roman CYR" w:ascii="Times New Roman CYR" w:hAnsi="Times New Roman CYR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7.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firstLine="34"/>
              <w:rPr/>
            </w:pPr>
            <w:r>
              <w:rPr>
                <w:rFonts w:cs="Times New Roman CYR" w:ascii="Times New Roman CYR" w:hAnsi="Times New Roman CYR"/>
                <w:color w:val="auto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8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ОК 11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before="0" w:after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tbl>
      <w:tblPr>
        <w:tblW w:w="1005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837"/>
        <w:gridCol w:w="5952"/>
      </w:tblGrid>
      <w:tr>
        <w:trPr>
          <w:trHeight w:val="1187" w:hRule="exact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4"/>
              <w:widowControl w:val="false"/>
              <w:pBdr/>
              <w:bidi w:val="0"/>
              <w:spacing w:lineRule="exact" w:line="270"/>
              <w:ind w:left="0" w:right="0" w:hanging="0"/>
              <w:rPr>
                <w:rStyle w:val="115pt1"/>
                <w:b w:val="false"/>
                <w:b w:val="false"/>
                <w:color w:val="000000"/>
                <w:sz w:val="28"/>
                <w:szCs w:val="28"/>
                <w:u w:val="none"/>
                <w:lang w:val="ru-RU" w:eastAsia="ru-RU" w:bidi="ar-SA"/>
              </w:rPr>
              <w:framePr w:w="10080" w:h="1350" w:x="765" w:y="0" w:hSpace="0" w:vSpace="0" w:wrap="notBeside" w:vAnchor="text" w:hAnchor="page" w:hRule="exact"/>
              <w:pBdr/>
            </w:pPr>
            <w:r>
              <w:rPr>
                <w:b w:val="false"/>
                <w:color w:val="000000"/>
                <w:sz w:val="28"/>
                <w:szCs w:val="28"/>
                <w:u w:val="none"/>
                <w:lang w:val="ru-RU" w:eastAsia="ru-RU" w:bidi="ar-SA"/>
              </w:rPr>
            </w:r>
          </w:p>
          <w:p>
            <w:pPr>
              <w:pStyle w:val="Style24"/>
              <w:pBdr/>
              <w:bidi w:val="0"/>
              <w:spacing w:lineRule="exact" w:line="270"/>
              <w:ind w:left="0" w:right="0" w:hanging="0"/>
              <w:jc w:val="center"/>
              <w:rPr>
                <w:rStyle w:val="115pt1"/>
                <w:color w:val="000000"/>
                <w:sz w:val="28"/>
                <w:szCs w:val="28"/>
                <w:u w:val="none"/>
                <w:lang w:val="ru-RU" w:eastAsia="ru-RU" w:bidi="ar-SA"/>
              </w:rPr>
              <w:framePr w:w="10080" w:h="1350" w:x="765" w:y="0" w:hSpace="0" w:vSpace="0" w:wrap="notBeside" w:vAnchor="text" w:hAnchor="page" w:hRule="exact"/>
              <w:pBdr/>
            </w:pPr>
            <w:r>
              <w:rPr>
                <w:color w:val="000000"/>
                <w:sz w:val="28"/>
                <w:szCs w:val="28"/>
                <w:u w:val="none"/>
                <w:lang w:val="ru-RU" w:eastAsia="ru-RU" w:bidi="ar-SA"/>
              </w:rPr>
            </w:r>
          </w:p>
          <w:p>
            <w:pPr>
              <w:pStyle w:val="Style24"/>
              <w:pBdr/>
              <w:bidi w:val="0"/>
              <w:spacing w:lineRule="exact" w:line="270"/>
              <w:ind w:left="0" w:right="0" w:hanging="0"/>
              <w:jc w:val="center"/>
              <w:rPr>
                <w:rStyle w:val="115pt1"/>
                <w:color w:val="000000"/>
                <w:sz w:val="28"/>
                <w:szCs w:val="28"/>
                <w:u w:val="none"/>
                <w:lang w:val="ru-RU" w:eastAsia="ru-RU" w:bidi="ar-SA"/>
              </w:rPr>
              <w:framePr w:w="10080" w:h="1350" w:x="765" w:y="0" w:hSpace="0" w:vSpace="0" w:wrap="notBeside" w:vAnchor="text" w:hAnchor="page" w:hRule="exact"/>
              <w:pBdr/>
            </w:pPr>
            <w:r>
              <w:rPr>
                <w:color w:val="000000"/>
                <w:sz w:val="28"/>
                <w:szCs w:val="28"/>
                <w:u w:val="none"/>
                <w:lang w:val="ru-RU" w:eastAsia="ru-RU" w:bidi="ar-SA"/>
              </w:rPr>
            </w:r>
          </w:p>
          <w:p>
            <w:pPr>
              <w:pStyle w:val="Style24"/>
              <w:pBdr/>
              <w:bidi w:val="0"/>
              <w:spacing w:lineRule="exact" w:line="270"/>
              <w:ind w:left="0" w:right="0" w:hanging="0"/>
              <w:jc w:val="center"/>
              <w:rPr/>
              <w:framePr w:w="10080" w:h="1350" w:x="765" w:y="0" w:hSpace="0" w:vSpace="0" w:wrap="notBeside" w:vAnchor="text" w:hAnchor="page" w:hRule="exact"/>
              <w:pBdr/>
            </w:pPr>
            <w:r>
              <w:rPr>
                <w:rStyle w:val="115pt1"/>
                <w:color w:val="000000"/>
                <w:sz w:val="28"/>
                <w:szCs w:val="28"/>
                <w:u w:val="none"/>
                <w:lang w:val="ru-RU" w:eastAsia="ru-RU" w:bidi="ar-SA"/>
              </w:rPr>
              <w:t>Виды профессиональной деятельности и профессиональные компетенции</w:t>
            </w:r>
          </w:p>
          <w:p>
            <w:pPr>
              <w:pStyle w:val="Style24"/>
              <w:pBdr/>
              <w:bidi w:val="0"/>
              <w:spacing w:lineRule="exact" w:line="27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  <w:framePr w:w="10080" w:h="1350" w:x="765" w:y="0" w:hSpace="0" w:vSpace="0" w:wrap="notBeside" w:vAnchor="text" w:hAnchor="page" w:hRule="exact"/>
              <w:pBdr/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Вид профессиональной деятельности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Код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-267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 профессиональных компетенций</w:t>
            </w:r>
          </w:p>
        </w:tc>
      </w:tr>
      <w:tr>
        <w:trPr>
          <w:trHeight w:val="709" w:hRule="exact"/>
        </w:trPr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Определять техническое состояние систем, агрегатов, деталей и механизмов автомобиля: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07" w:before="0" w:after="0"/>
              <w:ind w:left="20" w:right="0" w:hanging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1.1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bookmarkStart w:id="13" w:name="sub_3411"/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Определять техническое состояние автомобильных двигателей</w:t>
            </w:r>
            <w:bookmarkEnd w:id="13"/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</w:r>
          </w:p>
        </w:tc>
      </w:tr>
      <w:tr>
        <w:trPr>
          <w:trHeight w:val="904" w:hRule="exact"/>
        </w:trPr>
        <w:tc>
          <w:tcPr>
            <w:tcW w:w="2262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1.2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/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Определять техническое состояние электрических и электронных систем автомобилей.</w:t>
            </w:r>
          </w:p>
        </w:tc>
      </w:tr>
      <w:tr>
        <w:trPr>
          <w:trHeight w:val="793" w:hRule="exact"/>
        </w:trPr>
        <w:tc>
          <w:tcPr>
            <w:tcW w:w="2262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1.3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/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Определять техническое состояние автомобильных трансмиссий</w:t>
            </w:r>
          </w:p>
        </w:tc>
      </w:tr>
      <w:tr>
        <w:trPr>
          <w:trHeight w:val="928" w:hRule="exact"/>
        </w:trPr>
        <w:tc>
          <w:tcPr>
            <w:tcW w:w="2262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1.4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/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Определять техническое состояние ходовой части и механизмов управления автомобилей.</w:t>
            </w:r>
          </w:p>
        </w:tc>
      </w:tr>
      <w:tr>
        <w:trPr>
          <w:trHeight w:val="928" w:hRule="exact"/>
        </w:trPr>
        <w:tc>
          <w:tcPr>
            <w:tcW w:w="2262" w:type="dxa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1.5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/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Выявлять дефекты кузовов, кабин и платформ.</w:t>
            </w:r>
          </w:p>
        </w:tc>
      </w:tr>
      <w:tr>
        <w:trPr>
          <w:trHeight w:val="778" w:hRule="exact"/>
        </w:trPr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Осуществлять техническое обслуживание автотранспорта согласно требованиям нормативно-технической документации</w:t>
            </w:r>
          </w:p>
          <w:p>
            <w:pPr>
              <w:pStyle w:val="Style20"/>
              <w:widowControl w:val="false"/>
              <w:shd w:fill="FFFFFF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2.1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Осуществлять техническое обслуживание автомобильных двигателей.</w:t>
            </w:r>
            <w:bookmarkStart w:id="14" w:name="sub_3423"/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/>
            </w:r>
            <w:bookmarkStart w:id="15" w:name="sub_3422"/>
            <w:bookmarkStart w:id="16" w:name="sub_3422"/>
            <w:bookmarkEnd w:id="14"/>
            <w:bookmarkEnd w:id="16"/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bookmarkStart w:id="17" w:name="sub_3422"/>
            <w:bookmarkStart w:id="18" w:name="sub_3422"/>
            <w:bookmarkEnd w:id="18"/>
          </w:p>
        </w:tc>
      </w:tr>
      <w:tr>
        <w:trPr>
          <w:trHeight w:val="1233" w:hRule="exact"/>
        </w:trPr>
        <w:tc>
          <w:tcPr>
            <w:tcW w:w="2262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2.2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Осуществлять техническое обслуживание электрических и электронных систем автомобилей.</w:t>
            </w:r>
          </w:p>
        </w:tc>
      </w:tr>
      <w:tr>
        <w:trPr>
          <w:trHeight w:val="764" w:hRule="exact"/>
        </w:trPr>
        <w:tc>
          <w:tcPr>
            <w:tcW w:w="2262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2.3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Осуществлять техническое обслуживание автомобильных трансмиссий.</w:t>
            </w:r>
          </w:p>
        </w:tc>
      </w:tr>
      <w:tr>
        <w:trPr>
          <w:trHeight w:val="764" w:hRule="exact"/>
        </w:trPr>
        <w:tc>
          <w:tcPr>
            <w:tcW w:w="2262" w:type="dxa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2.4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bookmarkStart w:id="19" w:name="sub_3425"/>
            <w:bookmarkEnd w:id="19"/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Осуществлять техническое обслуживание ходовой части и механизмов управления автомобилей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</w:r>
            <w:bookmarkStart w:id="20" w:name="sub_3425"/>
            <w:bookmarkStart w:id="21" w:name="sub_3425"/>
            <w:bookmarkEnd w:id="21"/>
          </w:p>
        </w:tc>
      </w:tr>
      <w:tr>
        <w:trPr>
          <w:trHeight w:val="764" w:hRule="exact"/>
        </w:trPr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2.5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Осуществлять техническое обслуживание автомобильных кузовов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</w:r>
          </w:p>
        </w:tc>
      </w:tr>
    </w:tbl>
    <w:p>
      <w:pPr>
        <w:pStyle w:val="Style20"/>
        <w:widowControl w:val="false"/>
        <w:bidi w:val="0"/>
        <w:spacing w:lineRule="exact" w:line="326" w:before="0" w:after="0"/>
        <w:ind w:left="0" w:right="2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>
      <w:pPr>
        <w:pStyle w:val="Normal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sectPr>
          <w:footerReference w:type="default" r:id="rId3"/>
          <w:type w:val="nextPage"/>
          <w:pgSz w:w="11906" w:h="16838"/>
          <w:pgMar w:left="641" w:right="617" w:gutter="0" w:header="0" w:top="819" w:footer="3" w:bottom="1145"/>
          <w:pgNumType w:fmt="decimal"/>
          <w:formProt w:val="false"/>
          <w:textDirection w:val="lrTb"/>
          <w:docGrid w:type="default" w:linePitch="600" w:charSpace="32768"/>
        </w:sectPr>
      </w:pPr>
    </w:p>
    <w:tbl>
      <w:tblPr>
        <w:tblW w:w="10081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2269"/>
        <w:gridCol w:w="1843"/>
        <w:gridCol w:w="5969"/>
      </w:tblGrid>
      <w:tr>
        <w:trPr>
          <w:trHeight w:val="725" w:hRule="exac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Вид профессиональной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Код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 профессиональных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компетенций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725" w:hRule="exac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Производить текущий ремонт различных типов автомобилей в соответствии с требованиями технологической документации: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3.1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Производить текущий ремонт автомобильных двигателей.</w:t>
            </w:r>
          </w:p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1086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3.2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Производить текущий ремонт узлов и элементов электрических и электронных систем автомобилей</w:t>
            </w:r>
          </w:p>
        </w:tc>
      </w:tr>
      <w:tr>
        <w:trPr>
          <w:trHeight w:val="594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3.3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both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Производить текущий ремонт автомобильных трансмиссий.</w:t>
            </w:r>
          </w:p>
        </w:tc>
      </w:tr>
      <w:tr>
        <w:trPr>
          <w:trHeight w:val="702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3.4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Производить текущий ремонт ходовой части и механизмов управления автомобилей.</w:t>
            </w:r>
          </w:p>
        </w:tc>
      </w:tr>
      <w:tr>
        <w:trPr>
          <w:trHeight w:val="429" w:hRule="exac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ПК 3.5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20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rPr/>
            </w:pPr>
            <w:r>
              <w:rPr>
                <w:rFonts w:cs="Times New Roman CYR" w:ascii="Times New Roman CYR" w:hAnsi="Times New Roman CYR"/>
                <w:color w:val="auto"/>
                <w:sz w:val="28"/>
                <w:szCs w:val="28"/>
              </w:rPr>
              <w:t>Производить ремонт и окраску кузовов.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918" w:leader="none"/>
        </w:tabs>
        <w:bidi w:val="0"/>
        <w:ind w:left="0" w:right="0" w:firstLine="720"/>
        <w:jc w:val="left"/>
        <w:rPr/>
      </w:pPr>
      <w:bookmarkStart w:id="22" w:name="bookmark1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 xml:space="preserve">вательного процесса при реализации ППКРС СПО по профессии </w:t>
      </w:r>
      <w:bookmarkEnd w:id="22"/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Style w:val="115pt1"/>
          <w:b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0" w:leader="none"/>
        </w:tabs>
        <w:bidi w:val="0"/>
        <w:ind w:left="0" w:right="0" w:hanging="0"/>
        <w:jc w:val="left"/>
        <w:rPr/>
      </w:pPr>
      <w:bookmarkStart w:id="23" w:name="bookmark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Учебный план.</w:t>
      </w:r>
      <w:bookmarkEnd w:id="23"/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данной ППКРС регламентируется учебным планом СПО.</w:t>
      </w:r>
    </w:p>
    <w:p>
      <w:pPr>
        <w:pStyle w:val="Style20"/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20"/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Style20"/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определяет качественные и количественные характеристики основной профессиональной образовательной программы по профессии СПО: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параметры учебной нагрузки в целом, по годам обучения и по по</w:t>
        <w:softHyphen/>
        <w:t>лугодиям;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последовательность изучения учебных дисциплин и профессиональных мо</w:t>
        <w:softHyphen/>
        <w:t>дулей;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74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учебных занятий;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распределение различных форм промежуточной аттестации по годам обучения;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показатели подготовки и проведения государственной (итоговой) аттестации.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Продолжительность учебной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недели – пятидневная. Продолжительность 1 часа учебных занятий составляет 45 минут</w:t>
      </w:r>
      <w:r>
        <w:rPr>
          <w:rFonts w:cs="Times New Roman" w:ascii="Times New Roman" w:hAnsi="Times New Roman"/>
          <w:color w:val="C00000"/>
          <w:sz w:val="28"/>
          <w:szCs w:val="28"/>
          <w:lang w:eastAsia="en-US"/>
        </w:rPr>
        <w:t>.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Общая продолжительность каникул составляет не менее 24 недель, из которых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курсах по 11 недель,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- 2 недели, в том числе не менее 2 недель в зимний период.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Общий объём практики 39 недель. Учебная практика - 15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6 недель,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- 3недели. Производственная практика – 24 недели, их которых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 - 3недели,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- 21 </w:t>
      </w:r>
      <w:r>
        <w:rPr>
          <w:rFonts w:cs="Times New Roman" w:ascii="Times New Roman" w:hAnsi="Times New Roman"/>
          <w:sz w:val="28"/>
          <w:szCs w:val="28"/>
          <w:lang w:eastAsia="en-US"/>
        </w:rPr>
        <w:t>неделя.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Организация практики осуществляется следующим образом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2268"/>
        <w:gridCol w:w="3260"/>
      </w:tblGrid>
      <w:tr>
        <w:trPr>
          <w:trHeight w:val="450" w:hRule="atLeast"/>
        </w:trPr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Наименование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профессионального модуля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Вид практики</w:t>
            </w:r>
          </w:p>
        </w:tc>
      </w:tr>
      <w:tr>
        <w:trPr>
          <w:trHeight w:val="450" w:hRule="atLeast"/>
        </w:trPr>
        <w:tc>
          <w:tcPr>
            <w:tcW w:w="50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учебная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производственная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 01</w:t>
            </w:r>
            <w:r>
              <w:rPr>
                <w:rFonts w:cs="Times New Roman" w:ascii="Times New Roman" w:hAnsi="Times New Roman"/>
                <w:color w:val="333333"/>
                <w:sz w:val="28"/>
                <w:szCs w:val="28"/>
                <w:shd w:fill="FFFFFF" w:val="clear"/>
                <w:lang w:eastAsia="en-US"/>
              </w:rPr>
              <w:t xml:space="preserve"> Техническое состояние систем, агрегатов, деталей и механизмов автомобиля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(96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(108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(252 часа)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 02</w:t>
            </w:r>
            <w:r>
              <w:rPr>
                <w:rFonts w:cs="Times New Roman" w:ascii="Times New Roman" w:hAnsi="Times New Roman"/>
                <w:color w:val="333333"/>
                <w:sz w:val="28"/>
                <w:szCs w:val="28"/>
                <w:shd w:fill="FFFFFF" w:val="clear"/>
                <w:lang w:eastAsia="en-US"/>
              </w:rPr>
              <w:t xml:space="preserve"> Выполнение технического обслуживания автотранспорта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(240часов)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252 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часа)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ПМ.03 Текущий ремонт различных типов автомобиля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(102 часа)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102 часа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(252 часа</w:t>
            </w: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</w:tr>
    </w:tbl>
    <w:p>
      <w:pPr>
        <w:pStyle w:val="Normal"/>
        <w:widowControl w:val="false"/>
        <w:bidi w:val="0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Объём времени,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отведённый на промежуточную аттестацию, составляет 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2 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 - 1 неделя.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Государственная итоговая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аттестация – 2 недели</w:t>
      </w:r>
      <w:r>
        <w:rPr>
          <w:rFonts w:cs="Times New Roman" w:ascii="Times New Roman" w:hAnsi="Times New Roman"/>
          <w:sz w:val="28"/>
          <w:szCs w:val="28"/>
          <w:lang w:eastAsia="en-US"/>
        </w:rPr>
        <w:t>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Общеобразовательный цикл</w:t>
      </w:r>
    </w:p>
    <w:p>
      <w:pPr>
        <w:pStyle w:val="Default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>
        <w:rPr>
          <w:sz w:val="28"/>
          <w:szCs w:val="28"/>
        </w:rPr>
        <w:t xml:space="preserve"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2052 часа и включает: </w:t>
      </w:r>
    </w:p>
    <w:tbl>
      <w:tblPr>
        <w:tblW w:w="9355" w:type="dxa"/>
        <w:jc w:val="left"/>
        <w:tblInd w:w="-13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2"/>
        <w:gridCol w:w="3096"/>
        <w:gridCol w:w="3127"/>
      </w:tblGrid>
      <w:tr>
        <w:trPr/>
        <w:tc>
          <w:tcPr>
            <w:tcW w:w="3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en-US"/>
              </w:rPr>
              <w:t>Общие учебные предметы</w:t>
            </w:r>
          </w:p>
        </w:tc>
        <w:tc>
          <w:tcPr>
            <w:tcW w:w="30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en-US"/>
              </w:rPr>
              <w:t>Учебные предметы по выбору</w:t>
            </w:r>
          </w:p>
        </w:tc>
        <w:tc>
          <w:tcPr>
            <w:tcW w:w="31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en-US"/>
              </w:rPr>
              <w:t>Дополнительные учебные предметы</w:t>
            </w:r>
          </w:p>
        </w:tc>
      </w:tr>
      <w:tr>
        <w:trPr/>
        <w:tc>
          <w:tcPr>
            <w:tcW w:w="31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Русский язык 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Литература 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Иностранный язык 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История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Физическая культура 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Основы безопасности жизнедеятельности Астрономия</w:t>
            </w:r>
          </w:p>
        </w:tc>
        <w:tc>
          <w:tcPr>
            <w:tcW w:w="309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Родной язык 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Информатика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31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Основы финансовой грамотности в обществознании (включая экономику и право)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Основы естественных наук: экология,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биология,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география,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химия</w:t>
            </w:r>
          </w:p>
        </w:tc>
      </w:tr>
    </w:tbl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В период обучения с юношами проводятся учебные сборы в соответствии с </w:t>
      </w:r>
      <w:hyperlink r:id="rId4">
        <w:r>
          <w:rPr>
            <w:rFonts w:cs="Times New Roman" w:ascii="Times New Roman" w:hAnsi="Times New Roman"/>
            <w:sz w:val="28"/>
            <w:szCs w:val="28"/>
            <w:lang w:eastAsia="en-US"/>
          </w:rPr>
          <w:t>пункт 1 статьи 13</w:t>
        </w:r>
      </w:hyperlink>
      <w:r>
        <w:rPr>
          <w:rFonts w:cs="Times New Roman" w:ascii="Times New Roman" w:hAnsi="Times New Roman"/>
          <w:sz w:val="28"/>
          <w:szCs w:val="28"/>
          <w:lang w:eastAsia="en-US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Normal"/>
        <w:widowControl/>
        <w:bidi w:val="0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 xml:space="preserve">Формирование вариативной части ППКРС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ФГОС по профессии 23.01.17 Мастер по ремонту и обслуживанию автомобилей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предусмотрено общий объём образовательной программы на базе основного общего образования, включая получения среднего общего образования, составляет 4428 часов, из них 2052 часа – для получения среднего общего образования и 2376 часа на освоение общепрофессионального и профессионального циклов.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>
      <w:pPr>
        <w:pStyle w:val="Normal"/>
        <w:widowControl/>
        <w:numPr>
          <w:ilvl w:val="0"/>
          <w:numId w:val="7"/>
        </w:numPr>
        <w:bidi w:val="0"/>
        <w:spacing w:lineRule="auto" w:line="276" w:before="0" w:after="200"/>
        <w:ind w:left="72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1404 часа выделено на проведение учебной и производственной практики: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2268"/>
        <w:gridCol w:w="3260"/>
      </w:tblGrid>
      <w:tr>
        <w:trPr>
          <w:trHeight w:val="450" w:hRule="atLeast"/>
        </w:trPr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Наименование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профессионального модуля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Вид практики</w:t>
            </w:r>
          </w:p>
        </w:tc>
      </w:tr>
      <w:tr>
        <w:trPr>
          <w:trHeight w:val="450" w:hRule="atLeast"/>
        </w:trPr>
        <w:tc>
          <w:tcPr>
            <w:tcW w:w="50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учебная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производственная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 01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  <w:shd w:fill="FFFFFF" w:val="clear"/>
                <w:lang w:eastAsia="en-US"/>
              </w:rPr>
              <w:t xml:space="preserve"> Техническое состояние систем, агрегатов, деталей и механизмов автомобиля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(96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(108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(252 часа)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 02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  <w:shd w:fill="FFFFFF" w:val="clear"/>
                <w:lang w:eastAsia="en-US"/>
              </w:rPr>
              <w:t xml:space="preserve"> Выполнение технического обслуживания автотранспорта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(240часов)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(252 часа)</w:t>
            </w:r>
          </w:p>
        </w:tc>
      </w:tr>
      <w:tr>
        <w:trPr/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ПМ.03 Текущий ремонт различных типов автомобиля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(102 часа)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(102 часа)</w:t>
            </w:r>
          </w:p>
          <w:p>
            <w:pPr>
              <w:pStyle w:val="Normal"/>
              <w:widowControl w:val="false"/>
              <w:bidi w:val="0"/>
              <w:ind w:left="120" w:right="0" w:hang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</w:t>
            </w:r>
          </w:p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(252 часа)</w:t>
            </w:r>
          </w:p>
        </w:tc>
      </w:tr>
    </w:tbl>
    <w:p>
      <w:pPr>
        <w:pStyle w:val="Normal"/>
        <w:widowControl w:val="false"/>
        <w:numPr>
          <w:ilvl w:val="0"/>
          <w:numId w:val="7"/>
        </w:numPr>
        <w:bidi w:val="0"/>
        <w:spacing w:lineRule="auto" w:line="276" w:before="0" w:after="200"/>
        <w:ind w:left="72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180 часов – на общепрофессиональный учебный цикл: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520"/>
        <w:gridCol w:w="2977"/>
      </w:tblGrid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Индекс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Наименование дисциплины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Количество часов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ОП.01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Электротехника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36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ОП.02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Охрана труда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36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ОП.03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Материаловедение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32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ОП.07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Безопасность жизнедеятельности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36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ОП.08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40</w:t>
            </w:r>
          </w:p>
        </w:tc>
      </w:tr>
    </w:tbl>
    <w:p>
      <w:pPr>
        <w:pStyle w:val="Normal"/>
        <w:widowControl w:val="false"/>
        <w:numPr>
          <w:ilvl w:val="0"/>
          <w:numId w:val="7"/>
        </w:numPr>
        <w:bidi w:val="0"/>
        <w:spacing w:lineRule="auto" w:line="276" w:before="0" w:after="200"/>
        <w:ind w:left="720" w:right="0" w:hanging="36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539 часов – на изучение междисциплинарных курсов в рамках профессионального модуля:</w:t>
      </w:r>
    </w:p>
    <w:tbl>
      <w:tblPr>
        <w:tblW w:w="1059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5917"/>
        <w:gridCol w:w="3138"/>
      </w:tblGrid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Индекс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Наименование междисциплинарного курса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Количество часов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МДК.01.01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Устройство автомобилей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111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МДК.01.02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Техническая диагностика автомобиля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64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МДК.02.01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shd w:fill="FFFFFF" w:val="clear"/>
                <w:lang w:eastAsia="en-US"/>
              </w:rPr>
              <w:t>Техническое обслуживание автомобилей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110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МДК 02.02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shd w:fill="FFFFFF" w:val="clear"/>
                <w:lang w:eastAsia="en-US"/>
              </w:rPr>
              <w:t>Теоретическая подготовка водителей категории «В»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117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МДК.03.01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shd w:fill="FFFFFF" w:val="clear"/>
                <w:lang w:eastAsia="en-US"/>
              </w:rPr>
              <w:t>Слесарное дело и технические измерения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40</w:t>
            </w:r>
          </w:p>
        </w:tc>
      </w:tr>
      <w:tr>
        <w:trPr/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МДК.03.02</w:t>
            </w:r>
          </w:p>
        </w:tc>
        <w:tc>
          <w:tcPr>
            <w:tcW w:w="5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shd w:fill="FFFFFF" w:val="clear"/>
                <w:lang w:eastAsia="en-US"/>
              </w:rPr>
              <w:t>Текущий ремонт различных типов автомобилей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98</w:t>
            </w:r>
          </w:p>
        </w:tc>
      </w:tr>
    </w:tbl>
    <w:p>
      <w:pPr>
        <w:pStyle w:val="Normal"/>
        <w:widowControl w:val="false"/>
        <w:numPr>
          <w:ilvl w:val="0"/>
          <w:numId w:val="0"/>
        </w:numPr>
        <w:bidi w:val="0"/>
        <w:ind w:left="0" w:right="0" w:firstLine="708"/>
        <w:jc w:val="both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Вариативная часть образовательной программы (не менее 20 процентов) дает возможность расширения основных видов деятельности, к которым должен быть готов выпускник, освоивший образовательную программу, согласно сочетанию получаемых квалификаций, указанных в пункте 1.12 настоящего ФГОС СПО, а также получения дополнительных компетенций, необходимых для обеспечения конкурентного способности выпускника в соответствии с запросами регионального рынка труда.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jc w:val="center"/>
        <w:outlineLvl w:val="0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Организация промежуточной и итоговой аттестации</w:t>
      </w:r>
    </w:p>
    <w:p>
      <w:pPr>
        <w:pStyle w:val="Normal"/>
        <w:bidi w:val="0"/>
        <w:spacing w:lineRule="auto" w:line="276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Промежуточная аттестация позволяет оценить результаты учебной деятельности обучающегося за семестр и учебный год. Завершающей формой контроля по дисциплине и междисциплинарному курсу является экзамен или дифференцированный зачет (зачет с оценкой). Формы промежуточной аттестации по междисциплинарным курсам-экзамен, по учебной и производственной практике-дифференцированный зачет. По результатам освоения профессионального модуля обязательной формой промежуточной аттестации является экзамен квалификационный. Дифференцированные зачеты, зачеты и контрольные работы проводятся за счет времени, отведенного на соответствующую учебную дисциплину, МДК, учебную практику; экзамены – за счет времени, выделенного в учебном плане на промежуточную аттестацию.</w:t>
      </w:r>
    </w:p>
    <w:p>
      <w:pPr>
        <w:pStyle w:val="Normal"/>
        <w:bidi w:val="0"/>
        <w:spacing w:lineRule="auto" w:line="276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 модулям, и практикам результатов обучения.</w:t>
      </w:r>
    </w:p>
    <w:p>
      <w:pPr>
        <w:pStyle w:val="Normal"/>
        <w:widowControl/>
        <w:bidi w:val="0"/>
        <w:spacing w:lineRule="auto" w:line="276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Normal"/>
        <w:numPr>
          <w:ilvl w:val="0"/>
          <w:numId w:val="0"/>
        </w:numPr>
        <w:bidi w:val="0"/>
        <w:ind w:left="0" w:right="0" w:firstLine="708"/>
        <w:jc w:val="both"/>
        <w:outlineLvl w:val="0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en-US"/>
        </w:rPr>
        <w:t>Количество зачетов, дифференцированных зачетов и экзаменов по курсам и семестрам не превышает установленные нормы (не более 8 экзаменов в год и не более 10 зачетов и дифференцированных зачетов в год), указано в плане учебного процесса.</w:t>
      </w:r>
    </w:p>
    <w:p>
      <w:pPr>
        <w:pStyle w:val="41"/>
        <w:bidi w:val="0"/>
        <w:spacing w:before="0" w:after="0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 xml:space="preserve">дарта среднего профессионального образования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4"/>
          <w:color w:val="000000"/>
          <w:sz w:val="28"/>
          <w:szCs w:val="28"/>
          <w:u w:val="none"/>
          <w:lang w:val="ru-RU" w:eastAsia="ru-RU" w:bidi="ar-SA"/>
        </w:rPr>
        <w:t>5.Фактическое ресурсное обеспечение ППКРС СПО по профессии.</w:t>
      </w:r>
    </w:p>
    <w:p>
      <w:pPr>
        <w:pStyle w:val="41"/>
        <w:tabs>
          <w:tab w:val="clear" w:pos="720"/>
          <w:tab w:val="left" w:pos="1210" w:leader="none"/>
        </w:tabs>
        <w:bidi w:val="0"/>
        <w:spacing w:before="0" w:after="0"/>
        <w:ind w:left="0" w:right="0" w:hanging="0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            </w:t>
      </w: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5.1. Кадровое обеспечение учебного процесса.</w:t>
      </w:r>
    </w:p>
    <w:p>
      <w:pPr>
        <w:pStyle w:val="Style20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spacing w:lineRule="exact" w:line="322" w:before="0" w:after="120"/>
        <w:ind w:left="0" w:right="1120" w:hanging="0"/>
        <w:jc w:val="center"/>
        <w:rPr/>
      </w:pPr>
      <w:bookmarkStart w:id="24" w:name="bookmark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5.2. Учебно-методическое и информационное обеспечение учебного процесса</w:t>
      </w:r>
      <w:bookmarkEnd w:id="24"/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используется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 обучающихся: входной, текущий, промежуточный, тематический, итоговый.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</w:t>
        <w:softHyphen/>
        <w:t>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обеспеченны доступом к сети Интернет.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за последние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Так 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tabs>
          <w:tab w:val="clear" w:pos="720"/>
          <w:tab w:val="left" w:pos="1215" w:leader="none"/>
        </w:tabs>
        <w:bidi w:val="0"/>
        <w:ind w:left="0" w:right="0" w:hanging="0"/>
        <w:jc w:val="center"/>
        <w:rPr/>
      </w:pPr>
      <w:bookmarkStart w:id="25" w:name="bookmark1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5.3. Материально-техническое обеспечение учебного процесса</w:t>
      </w:r>
      <w:bookmarkEnd w:id="25"/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и модульной подготовки, учебной прак</w:t>
        <w:softHyphen/>
        <w:t>тики, предусмотренных учебным планом.</w:t>
      </w:r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 и мастерскими, и другими помещениями:</w:t>
      </w:r>
    </w:p>
    <w:p>
      <w:pPr>
        <w:pStyle w:val="Normal"/>
        <w:numPr>
          <w:ilvl w:val="0"/>
          <w:numId w:val="0"/>
        </w:numPr>
        <w:bidi w:val="0"/>
        <w:spacing w:before="108" w:after="108"/>
        <w:ind w:left="0" w:right="0" w:hanging="0"/>
        <w:jc w:val="center"/>
        <w:outlineLvl w:val="0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 xml:space="preserve">Перечень </w:t>
      </w:r>
      <w:r>
        <w:rPr/>
        <w:br/>
      </w:r>
      <w:r>
        <w:rPr>
          <w:rFonts w:cs="Times New Roman" w:ascii="Times New Roman" w:hAnsi="Times New Roman"/>
          <w:b/>
          <w:sz w:val="28"/>
          <w:szCs w:val="28"/>
          <w:lang w:eastAsia="en-US"/>
        </w:rPr>
        <w:t>кабинетов, лабораторий, мастерских и других помещений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Кабинеты: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технического черчения;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электротехники;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технической механики;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материаловедения;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охраны труда 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безопасности жизнедеятельности.</w:t>
      </w:r>
    </w:p>
    <w:p>
      <w:pPr>
        <w:pStyle w:val="Normal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Лаборатории: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электротехники и электроники;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информационных технологий;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контрольно-измерительных приборов;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технического обслуживания электрооборудования.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Мастерские: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слесарно-механическая;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электромонтажная.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комплекс: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спортивный зал;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открытый стадион широкого профиля с элементами полосы препятствий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Залы: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библиотека, читальный зал с выходом в сеть Интернет;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конференц-зал.</w:t>
      </w:r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Оснащенность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211"/>
        <w:keepNext w:val="true"/>
        <w:keepLines/>
        <w:tabs>
          <w:tab w:val="clear" w:pos="720"/>
          <w:tab w:val="left" w:pos="1014" w:leader="none"/>
        </w:tabs>
        <w:bidi w:val="0"/>
        <w:ind w:left="0" w:right="0" w:hanging="0"/>
        <w:rPr/>
      </w:pPr>
      <w:bookmarkStart w:id="26" w:name="bookmark17"/>
      <w:r>
        <w:rPr>
          <w:rStyle w:val="21"/>
          <w:b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6. Нормативно-методическое обеспечение системы оценки качества освоения обучающимися ППКРС СПО по 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26"/>
    </w:p>
    <w:p>
      <w:pPr>
        <w:pStyle w:val="211"/>
        <w:keepNext w:val="true"/>
        <w:keepLines/>
        <w:tabs>
          <w:tab w:val="clear" w:pos="720"/>
          <w:tab w:val="left" w:pos="1014" w:leader="none"/>
        </w:tabs>
        <w:bidi w:val="0"/>
        <w:ind w:left="0" w:right="0" w:firstLine="851"/>
        <w:rPr/>
      </w:pP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В соответствии с ФГОС СПО по профессии </w:t>
      </w:r>
      <w:r>
        <w:rPr>
          <w:rFonts w:ascii="Times New Roman" w:hAnsi="Times New Roman"/>
          <w:b w:val="false"/>
          <w:sz w:val="28"/>
          <w:szCs w:val="28"/>
        </w:rPr>
        <w:t>13.01.10 Электромонтёр по ремонту и обслуживанию электрооборудования (по отраслям)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>оценка качества освоения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ind w:left="1213" w:right="0" w:hanging="0"/>
        <w:rPr/>
      </w:pPr>
      <w:bookmarkStart w:id="27" w:name="bookmark1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6.1. Текущий контроль успеваемости и промежуточная аттестация.</w:t>
      </w:r>
      <w:bookmarkEnd w:id="27"/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АМФЦПК.</w:t>
      </w:r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20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20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20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20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зачет;</w:t>
      </w:r>
    </w:p>
    <w:p>
      <w:pPr>
        <w:pStyle w:val="Style20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20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персональных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тесты, и др. позволяющие оценить знания, умения и уровень приобретенных компетенций.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spacing w:lineRule="exact" w:line="322"/>
        <w:ind w:left="0" w:right="0" w:hanging="0"/>
        <w:rPr/>
      </w:pPr>
      <w:bookmarkStart w:id="28" w:name="bookmark1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6.2. Порядок аттестации студентов</w:t>
      </w:r>
      <w:bookmarkEnd w:id="28"/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зачеты проводятся за счет времени, отведенного на предмет, дисциплину, модуль. Экзамены - за счет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зачет и экзамен. Формами аттестации по учебной и производственной практике является дифференцированный зачет.</w:t>
      </w:r>
    </w:p>
    <w:p>
      <w:pPr>
        <w:pStyle w:val="Style20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Обязательными считаются экзамены по русскому языку (письменно), математике (письменно),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физике (устно).</w:t>
      </w:r>
    </w:p>
    <w:p>
      <w:pPr>
        <w:pStyle w:val="Style20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20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1332" w:right="0" w:hanging="1332"/>
        <w:jc w:val="center"/>
        <w:rPr/>
      </w:pPr>
      <w:bookmarkStart w:id="29" w:name="bookmark2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6.3. Итоговая государственная аттестация выпускников ППКРС СПО по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1332" w:right="0" w:hanging="1332"/>
        <w:jc w:val="center"/>
        <w:rPr/>
      </w:pP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профессии </w:t>
      </w:r>
      <w:r>
        <w:rPr>
          <w:rFonts w:ascii="Times New Roman" w:hAnsi="Times New Roman"/>
          <w:sz w:val="28"/>
          <w:szCs w:val="28"/>
          <w:lang w:eastAsia="en-US"/>
        </w:rPr>
        <w:t>23.01.17 Мастер по ремонту и обслуживанию автомобилей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29"/>
    </w:p>
    <w:p>
      <w:pPr>
        <w:pStyle w:val="Style20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(итоговой) аттестацией обучающихся.</w:t>
      </w:r>
    </w:p>
    <w:p>
      <w:pPr>
        <w:pStyle w:val="Style20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(итоговой)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Style20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Государственная (итоговая) аттестация включает защиту выпускной ква</w:t>
        <w:softHyphen/>
        <w:t>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</w:t>
        <w:softHyphen/>
        <w:t>ких профессиональных модулей;</w:t>
      </w:r>
    </w:p>
    <w:p>
      <w:pPr>
        <w:pStyle w:val="Style20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Выпускная практическая квалификационная работа предусматривает слож</w:t>
        <w:softHyphen/>
        <w:t>ность работы не ниже разряда по профессии, предусмотренного ФГОС СПО:</w:t>
      </w:r>
    </w:p>
    <w:p>
      <w:pPr>
        <w:pStyle w:val="Style20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FF0000"/>
          <w:sz w:val="28"/>
          <w:szCs w:val="28"/>
          <w:u w:val="none"/>
          <w:lang w:val="ru-RU" w:eastAsia="ru-RU" w:bidi="ar-SA"/>
        </w:rPr>
        <w:t>-</w:t>
      </w:r>
      <w:r>
        <w:rPr>
          <w:rFonts w:ascii="Times New Roman" w:hAnsi="Times New Roman"/>
          <w:sz w:val="28"/>
          <w:szCs w:val="28"/>
          <w:lang w:eastAsia="en-US"/>
        </w:rPr>
        <w:t>Мастер по ремонту и обслуживанию автомобилей</w:t>
      </w:r>
    </w:p>
    <w:p>
      <w:pPr>
        <w:pStyle w:val="Style20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содержанию, объему и структуре выпускной квалификацион</w:t>
        <w:softHyphen/>
        <w:t>ной работы определяются на основании положения об итоговой аттестации вы</w:t>
        <w:softHyphen/>
        <w:t>пускников ГПОАУ АМФЦПК.</w:t>
      </w:r>
    </w:p>
    <w:p>
      <w:pPr>
        <w:pStyle w:val="Style20"/>
        <w:tabs>
          <w:tab w:val="clear" w:pos="720"/>
          <w:tab w:val="left" w:pos="1411" w:leader="none"/>
        </w:tabs>
        <w:bidi w:val="0"/>
        <w:spacing w:before="0" w:after="0"/>
        <w:ind w:left="1332" w:right="0" w:hanging="0"/>
        <w:jc w:val="both"/>
        <w:rPr/>
      </w:pPr>
      <w:r>
        <w:rPr/>
      </w:r>
    </w:p>
    <w:sectPr>
      <w:type w:val="continuous"/>
      <w:pgSz w:w="11906" w:h="16838"/>
      <w:pgMar w:left="641" w:right="617" w:gutter="0" w:header="0" w:top="819" w:footer="3" w:bottom="1145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Times New Roman CYR"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7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2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b w:val="false"/>
        <w:w w:val="1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Symbol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cs="Times New Roman"/>
      <w:color w:val="000000"/>
      <w:sz w:val="23"/>
      <w:szCs w:val="23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5pt1">
    <w:name w:val="Основной текст + 11,5 pt1,Полужирный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/>
      <w:sz w:val="24"/>
      <w:szCs w:val="24"/>
    </w:rPr>
  </w:style>
  <w:style w:type="character" w:styleId="1">
    <w:name w:val="Заголовок №1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8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20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1">
    <w:name w:val="List"/>
    <w:basedOn w:val="Style20"/>
    <w:pPr/>
    <w:rPr>
      <w:rFonts w:cs="Noto Sans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Symbol" w:cs="Courier New"/>
      <w:color w:val="auto"/>
      <w:kern w:val="2"/>
      <w:sz w:val="24"/>
      <w:szCs w:val="24"/>
      <w:lang w:val="ru-RU" w:eastAsia="ru-RU" w:bidi="ar-SA"/>
    </w:rPr>
  </w:style>
  <w:style w:type="paragraph" w:styleId="22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1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4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2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Default">
    <w:name w:val="Default"/>
    <w:qFormat/>
    <w:pPr>
      <w:widowControl/>
      <w:bidi w:val="0"/>
      <w:jc w:val="left"/>
      <w:textAlignment w:val="auto"/>
    </w:pPr>
    <w:rPr>
      <w:rFonts w:ascii="Times New Roman" w:hAnsi="Times New Roman" w:eastAsia="Symbol" w:cs="Times New Roman"/>
      <w:color w:val="000000"/>
      <w:kern w:val="2"/>
      <w:sz w:val="24"/>
      <w:szCs w:val="24"/>
      <w:lang w:val="ru-RU" w:eastAsia="en-US" w:bidi="ar-SA"/>
    </w:rPr>
  </w:style>
  <w:style w:type="paragraph" w:styleId="NormalWeb">
    <w:name w:val="Normal (Web)"/>
    <w:basedOn w:val="Normal"/>
    <w:qFormat/>
    <w:pPr>
      <w:widowControl/>
      <w:spacing w:beforeAutospacing="1" w:afterAutospacing="1"/>
    </w:pPr>
    <w:rPr>
      <w:rFonts w:cs="Times New Roman"/>
    </w:rPr>
  </w:style>
  <w:style w:type="paragraph" w:styleId="13">
    <w:name w:val="Сетка таблицы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23">
    <w:name w:val="Сетка таблицы2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32">
    <w:name w:val="Сетка таблицы3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tyle25">
    <w:name w:val="Содержимое врезки"/>
    <w:basedOn w:val="Normal"/>
    <w:qFormat/>
    <w:pPr/>
    <w:rPr/>
  </w:style>
  <w:style w:type="paragraph" w:styleId="Style26">
    <w:name w:val="Колонтитул"/>
    <w:basedOn w:val="Normal"/>
    <w:qFormat/>
    <w:pPr/>
    <w:rPr/>
  </w:style>
  <w:style w:type="paragraph" w:styleId="Style27">
    <w:name w:val="Footer"/>
    <w:basedOn w:val="Style26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hyperlink" Target="http://ivo.garant.ru/document/redirect/178405/1301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LibreOffice/7.3.7.2$Linux_X86_64 LibreOffice_project/30$Build-2</Application>
  <AppVersion>15.0000</AppVersion>
  <Pages>16</Pages>
  <Words>3770</Words>
  <Characters>28744</Characters>
  <CharactersWithSpaces>32252</CharactersWithSpaces>
  <Paragraphs>429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2021-04-25T17:17:00Z</cp:lastPrinted>
  <dcterms:modified xsi:type="dcterms:W3CDTF">2023-03-22T15:00:00Z</dcterms:modified>
  <cp:revision>40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