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before="0" w:after="32"/>
        <w:ind w:left="440" w:right="0" w:hanging="0"/>
        <w:rPr>
          <w:rStyle w:val="4"/>
          <w:rFonts w:cs="Times New Roman"/>
          <w:color w:val="000000"/>
          <w:sz w:val="24"/>
          <w:szCs w:val="24"/>
          <w:u w:val="none"/>
          <w:lang w:val="ru-RU" w:eastAsia="ru-RU" w:bidi="ar-SA"/>
        </w:rPr>
      </w:pPr>
      <w:r>
        <w:rPr/>
        <w:drawing>
          <wp:inline distT="0" distB="0" distL="0" distR="0">
            <wp:extent cx="5960110" cy="64750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 w:cs="Times New Roman"/>
          <w:color w:val="000000"/>
          <w:u w:val="none"/>
          <w:lang w:val="ru-RU" w:eastAsia="ru-RU" w:bidi="ar-SA"/>
        </w:rPr>
      </w:pPr>
      <w:r>
        <w:rPr>
          <w:rFonts w:cs="Times New Roman"/>
          <w:color w:val="000000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4560" w:right="20" w:hanging="0"/>
        <w:jc w:val="right"/>
        <w:rPr>
          <w:rStyle w:val="115pt1"/>
          <w:rFonts w:ascii="Courier New" w:hAnsi="Courier New" w:cs="Times New Roman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 w:cs="Times New Roman"/>
          <w:b w:val="false"/>
          <w:b w:val="false"/>
          <w:color w:val="000000"/>
          <w:sz w:val="27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7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 w:cs="Times New Roman"/>
          <w:b w:val="false"/>
          <w:b w:val="false"/>
          <w:color w:val="000000"/>
          <w:sz w:val="27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7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4560" w:right="20" w:hanging="0"/>
        <w:jc w:val="center"/>
        <w:rPr>
          <w:rStyle w:val="115pt1"/>
          <w:rFonts w:ascii="Courier New" w:hAnsi="Courier New" w:cs="Times New Roman"/>
          <w:b w:val="false"/>
          <w:b w:val="false"/>
          <w:color w:val="000000"/>
          <w:sz w:val="27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7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 w:cs="Times New Roman"/>
          <w:b w:val="false"/>
          <w:b w:val="false"/>
          <w:color w:val="000000"/>
          <w:sz w:val="27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7"/>
          <w:u w:val="none"/>
          <w:lang w:val="ru-RU" w:eastAsia="ru-RU" w:bidi="ar-SA"/>
        </w:rPr>
      </w:r>
    </w:p>
    <w:p>
      <w:pPr>
        <w:pStyle w:val="Style23"/>
        <w:bidi w:val="0"/>
        <w:spacing w:lineRule="exact" w:line="270" w:before="0" w:after="0"/>
        <w:ind w:left="140" w:right="0" w:hanging="0"/>
        <w:jc w:val="center"/>
        <w:rPr/>
      </w:pPr>
      <w:r>
        <w:rPr>
          <w:rStyle w:val="115pt1"/>
          <w:rFonts w:cs="Times New Roman"/>
          <w:b w:val="false"/>
          <w:color w:val="000000"/>
          <w:sz w:val="27"/>
          <w:u w:val="none"/>
          <w:lang w:val="ru-RU" w:eastAsia="ru-RU" w:bidi="ar-SA"/>
        </w:rPr>
        <w:t>2021  год</w:t>
      </w:r>
    </w:p>
    <w:p>
      <w:pPr>
        <w:sectPr>
          <w:footerReference w:type="default" r:id="rId3"/>
          <w:type w:val="nextPage"/>
          <w:pgSz w:w="11906" w:h="16838"/>
          <w:pgMar w:left="1181" w:right="1181" w:gutter="0" w:header="0" w:top="703" w:footer="0" w:bottom="703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rFonts w:cs="Times New Roman"/>
          <w:color w:val="000000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>23.01.10</w:t>
      </w:r>
      <w:r>
        <w:rPr/>
        <w:t xml:space="preserve"> </w:t>
      </w: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Слесарь по обслуживанию и ремонту подвижного состава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ListParagraph"/>
        <w:numPr>
          <w:ilvl w:val="0"/>
          <w:numId w:val="1"/>
        </w:numPr>
        <w:bidi w:val="0"/>
        <w:ind w:left="708" w:right="0" w:hanging="0"/>
        <w:rPr/>
      </w:pPr>
      <w:r>
        <w:rPr>
          <w:rStyle w:val="4"/>
          <w:rFonts w:cs="Times New Roman"/>
          <w:b w:val="false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 xml:space="preserve">тельного процесса при реализации ППКРС СПО по профессии </w:t>
      </w:r>
      <w:r>
        <w:rPr>
          <w:rStyle w:val="4"/>
          <w:rFonts w:cs="Times New Roman"/>
          <w:bCs/>
          <w:sz w:val="28"/>
          <w:szCs w:val="28"/>
          <w:u w:val="none"/>
          <w:lang w:val="ru-RU" w:eastAsia="ru-RU" w:bidi="ar-SA"/>
        </w:rPr>
        <w:t>23.01.10 Слесарь по обслуживанию и ремонту подвижного состава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</w:p>
    <w:p>
      <w:pPr>
        <w:pStyle w:val="ListParagraph"/>
        <w:numPr>
          <w:ilvl w:val="0"/>
          <w:numId w:val="1"/>
        </w:numPr>
        <w:bidi w:val="0"/>
        <w:ind w:left="708" w:right="0" w:hanging="0"/>
        <w:rPr/>
      </w:pPr>
      <w:r>
        <w:rPr>
          <w:rStyle w:val="4"/>
          <w:rFonts w:cs="Times New Roman"/>
          <w:b w:val="false"/>
          <w:sz w:val="28"/>
          <w:szCs w:val="28"/>
          <w:u w:val="none"/>
          <w:lang w:val="ru-RU" w:eastAsia="ru-RU" w:bidi="ar-SA"/>
        </w:rPr>
        <w:t xml:space="preserve">Нормативно-методическое обеспечение системы оценки качества освоения обучающимися ППКРС СПО по профессии </w:t>
      </w:r>
      <w:r>
        <w:rPr>
          <w:rStyle w:val="4"/>
          <w:rFonts w:cs="Times New Roman"/>
          <w:bCs/>
          <w:sz w:val="28"/>
          <w:szCs w:val="28"/>
          <w:u w:val="none"/>
          <w:lang w:val="ru-RU" w:eastAsia="ru-RU" w:bidi="ar-SA"/>
        </w:rPr>
        <w:t>23.01.10 Слесарь по обслуживанию и ремонту подвижного состава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3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</w:t>
      </w:r>
      <w:bookmarkStart w:id="0" w:name="bookmark0"/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Style23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21"/>
          <w:rFonts w:cs="Times New Roman"/>
          <w:bCs/>
          <w:color w:val="000000"/>
          <w:sz w:val="28"/>
          <w:szCs w:val="28"/>
          <w:u w:val="none"/>
          <w:lang w:val="ru-RU" w:eastAsia="ru-RU" w:bidi="ar-SA"/>
        </w:rPr>
        <w:t xml:space="preserve">                   </w:t>
      </w:r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1"/>
      <w:bookmarkStart w:id="2" w:name="bookmark1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rFonts w:cs="Times New Roman"/>
          <w:color w:val="000000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rFonts w:cs="Times New Roman"/>
          <w:color w:val="000000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1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(ППКРС) профессии 23.01.10 Слесарь по обслуживанию и ремонту подвижного состава реализуется ГПОАУ АМФЦПК по программе базовой подготовки на базе основного общего образования.</w:t>
      </w:r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>онального образования (ФГОС СПО) по профессии 23.01.10 Слесарь по обслуживанию и ремонту подвижного состава.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 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before="0" w:after="0"/>
        <w:ind w:left="0" w:right="0" w:firstLine="74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23.01.10 Слесарь по </w:t>
      </w:r>
      <w:r>
        <w:rPr>
          <w:rStyle w:val="115pt1"/>
          <w:rFonts w:cs="Times New Roman"/>
          <w:b w:val="false"/>
          <w:color w:val="C00000"/>
          <w:sz w:val="28"/>
          <w:szCs w:val="28"/>
          <w:u w:val="none"/>
          <w:lang w:val="ru-RU" w:eastAsia="ru-RU" w:bidi="ar-SA"/>
        </w:rPr>
        <w:t>обслуживанию и ремонту подвижного состава</w:t>
      </w:r>
      <w:r>
        <w:rPr>
          <w:rStyle w:val="115pt1"/>
          <w:rFonts w:cs="Times New Roman"/>
          <w:b w:val="false"/>
          <w:bCs w:val="false"/>
          <w:color w:val="C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rFonts w:cs="Times New Roman"/>
          <w:b w:val="false"/>
          <w:color w:val="C00000"/>
          <w:sz w:val="28"/>
          <w:szCs w:val="28"/>
          <w:u w:val="none"/>
          <w:lang w:val="ru-RU" w:eastAsia="ru-RU" w:bidi="ar-SA"/>
        </w:rPr>
        <w:t>составляют:</w:t>
      </w:r>
      <w:r>
        <w:rPr>
          <w:b w:val="false"/>
          <w:color w:val="C00000"/>
        </w:rPr>
        <w:t xml:space="preserve"> 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color w:val="C00000"/>
          <w:sz w:val="28"/>
          <w:szCs w:val="28"/>
        </w:rPr>
        <w:t>-Федеральный государственный образовательный стандарт по профессии (далее ФГОС) среднего профессионального образования (далее СПО) 23.01.10 Слесарь по обслуживанию и ремонту подвижного состава, утвержденный приказом Министерства образования и науки Российской Федерации №696 от 02.08.2013г., зарегистрированного Министерством юстиции;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color w:val="C00000"/>
          <w:sz w:val="28"/>
          <w:szCs w:val="28"/>
        </w:rPr>
        <w:t xml:space="preserve">- Приказ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Приказа Министерства образования и науки Российской Федерации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образования;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Приказа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Приказа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Федерального государственного образовательного стандарта среднего общего образования, реализуемого в пределах ОПОП с учётом профиля получаемого профессионального образования (утв. приказом Министерства образования и науки Российской Федерации от 17 мая 2012г. № 413;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bCs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18 апреля 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bCs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16 сентября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bCs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rFonts w:cs="Times New Roman"/>
          <w:b w:val="false"/>
          <w:bCs/>
          <w:sz w:val="28"/>
          <w:szCs w:val="28"/>
          <w:u w:val="none"/>
          <w:lang w:val="ru-RU" w:eastAsia="ru-RU" w:bidi="ar-SA"/>
        </w:rPr>
        <w:t>968 "Об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bCs/>
          <w:sz w:val="28"/>
          <w:szCs w:val="28"/>
          <w:u w:val="none"/>
          <w:lang w:val="ru-RU" w:eastAsia="ru-RU" w:bidi="ar-SA"/>
        </w:rPr>
        <w:t xml:space="preserve">-  </w:t>
      </w: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Устав ГПОАУ АМФЦПК;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Выпускник Центра в результате освоения ППКРС по профессии 23.01.10 Слесарь по обслуживанию и ремонту подвижного состава будет профессионально готов к деятельности по техническому обслуживанию и ремонту основных узлов обслуживаемого оборудования, электрических машин, аппаратов, механизмов и приборов подвижного состава и контроля качества отремонтированных узлов обслуживаемого оборудования, электрических машин, аппаратов, механизмов и приборов подвижного состава.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 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3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-приоритет практика ориентированных знаний выпускника;</w:t>
      </w:r>
    </w:p>
    <w:p>
      <w:pPr>
        <w:pStyle w:val="Style23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-ориентация на развитие местного и регионального сообщества;</w:t>
      </w:r>
    </w:p>
    <w:p>
      <w:pPr>
        <w:pStyle w:val="Style23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3"/>
        <w:tabs>
          <w:tab w:val="clear" w:pos="720"/>
          <w:tab w:val="left" w:pos="2271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-формирование готовности принимать решения и профессионально действовать в нестандартных ситуациях.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23.01.10 Слесарь по обслуживанию и ремонту подвижного состава при очной форме получения образования и присваиваемая квалификация приводятся в таблице:</w:t>
      </w:r>
    </w:p>
    <w:tbl>
      <w:tblPr>
        <w:tblW w:w="1022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5039"/>
        <w:gridCol w:w="2801"/>
      </w:tblGrid>
      <w:tr>
        <w:trPr/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>Уровень образования, необходимый для приема на обучение по ППКРС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>Наименование квалификации (профессий по Общероссийскому классификатору профессий рабочих, должностей служащих и тарифных разрядов) (</w:t>
            </w:r>
            <w:hyperlink r:id="rId4">
              <w:r>
                <w:rPr>
                  <w:color w:val="106BBE"/>
                </w:rPr>
                <w:t>ОК 016-94</w:t>
              </w:r>
            </w:hyperlink>
            <w:r>
              <w:rPr/>
              <w:t>)</w:t>
            </w:r>
            <w:hyperlink w:anchor="sub_111">
              <w:r>
                <w:rPr>
                  <w:color w:val="106BBE"/>
                </w:rPr>
                <w:t>*</w:t>
              </w:r>
            </w:hyperlink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bookmarkStart w:id="7" w:name="sub_801"/>
            <w:r>
              <w:rPr/>
              <w:t>Срок получения СПО по ППКРС в очной форме обучения</w:t>
            </w:r>
            <w:bookmarkEnd w:id="7"/>
          </w:p>
        </w:tc>
      </w:tr>
      <w:tr>
        <w:trPr>
          <w:trHeight w:val="838" w:hRule="atLeast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>основное общее образование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>Осмотрщик вагонов</w:t>
            </w:r>
          </w:p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>Слесарь по ремонту подвижного состава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2 года 10 мес. </w:t>
            </w:r>
          </w:p>
        </w:tc>
      </w:tr>
    </w:tbl>
    <w:p>
      <w:pPr>
        <w:pStyle w:val="Normal"/>
        <w:widowControl w:val="false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1023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1936"/>
        <w:gridCol w:w="1275"/>
        <w:gridCol w:w="1843"/>
        <w:gridCol w:w="1418"/>
        <w:gridCol w:w="1558"/>
        <w:gridCol w:w="979"/>
        <w:gridCol w:w="1146"/>
      </w:tblGrid>
      <w:tr>
        <w:trPr>
          <w:trHeight w:val="484" w:hRule="atLeast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Курсы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Обучение по дисциплинам и междисциплинарным курсам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 xml:space="preserve">Учебная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Производственная практика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Промежу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точная аттестация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Государс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твенная (итоговая) аттестация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Кани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кулы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Всего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(по курсам)</w:t>
            </w:r>
          </w:p>
        </w:tc>
      </w:tr>
      <w:tr>
        <w:trPr>
          <w:trHeight w:val="623" w:hRule="atLeast"/>
        </w:trPr>
        <w:tc>
          <w:tcPr>
            <w:tcW w:w="8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9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по профилю профессии</w:t>
            </w:r>
          </w:p>
        </w:tc>
        <w:tc>
          <w:tcPr>
            <w:tcW w:w="14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5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9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11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8</w:t>
            </w:r>
          </w:p>
        </w:tc>
      </w:tr>
      <w:tr>
        <w:trPr/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29,8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ind w:left="0" w:right="0" w:firstLine="74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 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ind w:left="0" w:right="0" w:firstLine="74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23.01.10 Слесарь по обслуживанию и ремонту подвижного состава востребованы на предприятиях г. Белогорска и области: </w:t>
      </w:r>
      <w:r>
        <w:rPr>
          <w:rFonts w:ascii="Times New Roman" w:hAnsi="Times New Roman"/>
          <w:sz w:val="28"/>
          <w:szCs w:val="28"/>
        </w:rPr>
        <w:t>Забайкальская дирекция тяги – структурное подразделение Дирекции тяги – филиала ОАО «РЖД»; Белогорская дистанция сигнализации, централизации и блокировки Свободненского отделения Забайкальской железной дороги – филиала ОАО «РЖД», Вагонное ремонтное депо «Белогорск " обособленное структурное подразделение акционерного общества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>Забайкальской железной дороги – филиал ОАО «РЖД.</w:t>
      </w:r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rFonts w:cs="Times New Roman"/>
          <w:bCs/>
          <w:color w:val="000000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студенты, обучающиеся по профессии Слесарь по обслуживанию и ремонту подвижного состава, первого, второго и третьего курсов;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колледжем: студенческий совет, родительский совет;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20" w:firstLine="68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 23.01.10</w:t>
      </w:r>
      <w:r>
        <w:rPr/>
        <w:t xml:space="preserve"> </w:t>
      </w: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Слесарь по обслуживанию и ремонту подвижного состава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r>
        <w:rPr>
          <w:rStyle w:val="2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</w:p>
    <w:p>
      <w:pPr>
        <w:pStyle w:val="Style23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Основной областью профессиональной деятельности выпускников является управление, техническое обслуживание и ремонт локомотива (электровоза) под руководством машиниста; обеспечение условий эффективной эксплуатации обслуживаемого подвижного состава.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</w:p>
    <w:p>
      <w:pPr>
        <w:pStyle w:val="Style23"/>
        <w:bidi w:val="0"/>
        <w:spacing w:lineRule="exact" w:line="322" w:before="0" w:after="0"/>
        <w:ind w:left="112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Объектами его профессиональной деятельности являются: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2" w:before="0" w:after="0"/>
        <w:ind w:left="72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локомотив электровоза;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устройство, узлы и агрегаты оборудования локомотива электровоза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устройство, узлы и агрегаты оборудования грузовых и пассажирских вагонов;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2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инструменты, контрольно-измерительные приборы, применяемые при техническом обслуживании и ремонте локомотива (электровоза, грузовых и пассажирских вагонов);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270" w:before="0" w:after="0"/>
        <w:ind w:left="72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профиль пути;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сигнальные устройства.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/>
        <w:ind w:left="40" w:right="0" w:firstLine="68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выпускника.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112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состава.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112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Контроль качества отремонтированных узлов обслуживаемого оборудования, электрических машин, аппаратов, механизмов и приборов подвижного состава.</w:t>
      </w:r>
    </w:p>
    <w:p>
      <w:pPr>
        <w:pStyle w:val="Style23"/>
        <w:tabs>
          <w:tab w:val="clear" w:pos="720"/>
          <w:tab w:val="left" w:pos="1553" w:leader="none"/>
        </w:tabs>
        <w:bidi w:val="0"/>
        <w:spacing w:lineRule="exact" w:line="326" w:before="0" w:after="0"/>
        <w:ind w:left="112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следующих видов работ: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270" w:before="0" w:after="37"/>
        <w:ind w:left="112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Слесарь по ремонту подвижного состава - 3 разряд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270" w:before="0" w:after="0"/>
        <w:ind w:left="112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Осмотрщик –ремонтник вагонов – 3 разряд </w:t>
      </w:r>
    </w:p>
    <w:p>
      <w:pPr>
        <w:pStyle w:val="Style23"/>
        <w:tabs>
          <w:tab w:val="clear" w:pos="720"/>
          <w:tab w:val="left" w:pos="1553" w:leader="none"/>
        </w:tabs>
        <w:bidi w:val="0"/>
        <w:spacing w:lineRule="exact" w:line="270" w:before="0" w:after="0"/>
        <w:ind w:left="1120" w:right="0" w:hanging="0"/>
        <w:jc w:val="both"/>
        <w:rPr>
          <w:rStyle w:val="115pt1"/>
          <w:rFonts w:cs="Times New Roman"/>
          <w:b w:val="false"/>
          <w:b w:val="false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b w:val="false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ind w:left="0" w:right="0" w:firstLine="68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</w:t>
      </w:r>
    </w:p>
    <w:p>
      <w:pPr>
        <w:pStyle w:val="Style23"/>
        <w:bidi w:val="0"/>
        <w:spacing w:before="0" w:after="0"/>
        <w:ind w:left="0" w:right="0" w:firstLine="68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Выпускник, освоивший ППКРС, должен обладать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ми компетенциями, включающими в себя способность:</w:t>
      </w:r>
    </w:p>
    <w:p>
      <w:pPr>
        <w:pStyle w:val="Style23"/>
        <w:bidi w:val="0"/>
        <w:spacing w:before="0" w:after="0"/>
        <w:ind w:left="0" w:right="0" w:firstLine="680"/>
        <w:jc w:val="both"/>
        <w:rPr>
          <w:rStyle w:val="115pt1"/>
          <w:rFonts w:cs="Times New Roman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</w:r>
    </w:p>
    <w:tbl>
      <w:tblPr>
        <w:tblW w:w="10827" w:type="dxa"/>
        <w:jc w:val="left"/>
        <w:tblInd w:w="-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9"/>
        <w:gridCol w:w="1701"/>
        <w:gridCol w:w="5797"/>
      </w:tblGrid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jc w:val="center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jc w:val="center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7.</w:t>
            </w:r>
          </w:p>
        </w:tc>
        <w:tc>
          <w:tcPr>
            <w:tcW w:w="7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Исполнять воинскую обязанность , в том числе с применением полученных профессиональных знаний (для юношей).</w:t>
            </w:r>
          </w:p>
        </w:tc>
      </w:tr>
      <w:tr>
        <w:trPr/>
        <w:tc>
          <w:tcPr>
            <w:tcW w:w="108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color w:val="000000"/>
                <w:sz w:val="28"/>
                <w:szCs w:val="28"/>
              </w:rPr>
              <w:t>Виды профессиональной деятельности и профессиональные компетенции</w:t>
            </w:r>
          </w:p>
        </w:tc>
      </w:tr>
      <w:tr>
        <w:trPr/>
        <w:tc>
          <w:tcPr>
            <w:tcW w:w="332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>
        <w:trPr>
          <w:trHeight w:val="172" w:hRule="atLeast"/>
        </w:trPr>
        <w:tc>
          <w:tcPr>
            <w:tcW w:w="3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  <w:tab w:val="left" w:pos="1553" w:leader="none"/>
              </w:tabs>
              <w:bidi w:val="0"/>
              <w:spacing w:lineRule="exact" w:line="326" w:before="0" w:after="0"/>
              <w:ind w:left="0" w:right="0" w:hanging="0"/>
              <w:jc w:val="both"/>
              <w:rPr/>
            </w:pPr>
            <w:r>
              <w:rPr>
                <w:rStyle w:val="115pt1"/>
                <w:rFonts w:ascii="Times New Roman" w:hAnsi="Times New Roman"/>
                <w:sz w:val="24"/>
                <w:szCs w:val="24"/>
              </w:rPr>
              <w:t>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1.1.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Выявлять неисправности основных узлов оборудования и механизмов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50" w:hRule="atLeast"/>
        </w:trPr>
        <w:tc>
          <w:tcPr>
            <w:tcW w:w="33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1.2.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демонтаж, монтаж, сборку и регулировку узлов и механизмов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5" w:hRule="atLeast"/>
        </w:trPr>
        <w:tc>
          <w:tcPr>
            <w:tcW w:w="33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1.3.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ремонт узлов, механизмов и изготовление отдельных деталей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51" w:hRule="atLeast"/>
        </w:trPr>
        <w:tc>
          <w:tcPr>
            <w:tcW w:w="3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  <w:tab w:val="left" w:pos="1553" w:leader="none"/>
              </w:tabs>
              <w:bidi w:val="0"/>
              <w:spacing w:lineRule="exact" w:line="326" w:before="0" w:after="0"/>
              <w:ind w:left="0" w:right="0" w:hanging="0"/>
              <w:jc w:val="both"/>
              <w:rPr/>
            </w:pPr>
            <w:r>
              <w:rPr>
                <w:rStyle w:val="115pt1"/>
                <w:rFonts w:ascii="Times New Roman" w:hAnsi="Times New Roman"/>
                <w:sz w:val="24"/>
                <w:szCs w:val="24"/>
              </w:rPr>
              <w:t>Контроль качества отремонтированных узлов обслуживаемого оборудования, электрических машин, аппаратов, механизмов и приборов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2.1.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работу на стендах, измерительных установках для исследования состояния узлов и механизмов подвижного состава.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50" w:hRule="atLeast"/>
        </w:trPr>
        <w:tc>
          <w:tcPr>
            <w:tcW w:w="33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2.2.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испытания узлов и механизмов подвижного состава.</w:t>
            </w:r>
          </w:p>
        </w:tc>
      </w:tr>
      <w:tr>
        <w:trPr>
          <w:trHeight w:val="118" w:hRule="atLeast"/>
        </w:trPr>
        <w:tc>
          <w:tcPr>
            <w:tcW w:w="33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 2.3.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Оформлять техническую документацию и составлять дефектную ведомость.</w:t>
            </w:r>
          </w:p>
        </w:tc>
      </w:tr>
    </w:tbl>
    <w:p>
      <w:pPr>
        <w:pStyle w:val="ListParagraph"/>
        <w:widowControl w:val="false"/>
        <w:bidi w:val="0"/>
        <w:ind w:left="708" w:right="0" w:hanging="0"/>
        <w:rPr>
          <w:rStyle w:val="21"/>
          <w:rFonts w:cs="Times New Roman"/>
          <w:bCs/>
          <w:sz w:val="28"/>
          <w:szCs w:val="28"/>
          <w:u w:val="none"/>
          <w:lang w:val="ru-RU" w:eastAsia="ru-RU" w:bidi="ar-SA"/>
        </w:rPr>
      </w:pPr>
      <w:r>
        <w:rPr>
          <w:rFonts w:cs="Times New Roman"/>
          <w:bCs/>
          <w:sz w:val="28"/>
          <w:szCs w:val="28"/>
          <w:u w:val="none"/>
          <w:lang w:val="ru-RU" w:eastAsia="ru-RU" w:bidi="ar-SA"/>
        </w:rPr>
      </w:r>
    </w:p>
    <w:p>
      <w:pPr>
        <w:pStyle w:val="ListParagraph"/>
        <w:bidi w:val="0"/>
        <w:ind w:left="0" w:right="0" w:firstLine="720"/>
        <w:rPr/>
      </w:pPr>
      <w:r>
        <w:rPr>
          <w:rStyle w:val="21"/>
          <w:rFonts w:cs="Times New Roman"/>
          <w:sz w:val="28"/>
          <w:szCs w:val="28"/>
          <w:u w:val="none"/>
          <w:lang w:val="ru-RU" w:eastAsia="ru-RU" w:bidi="ar-SA"/>
        </w:rPr>
        <w:t xml:space="preserve">4. </w:t>
      </w:r>
      <w:r>
        <w:rPr>
          <w:rStyle w:val="21"/>
          <w:rFonts w:cs="Times New Roman"/>
          <w:b w:val="false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r>
        <w:rPr>
          <w:rStyle w:val="21"/>
          <w:rFonts w:cs="Times New Roman"/>
          <w:sz w:val="28"/>
          <w:szCs w:val="28"/>
          <w:u w:val="none"/>
          <w:lang w:val="ru-RU" w:eastAsia="ru-RU" w:bidi="ar-SA"/>
        </w:rPr>
        <w:t>23.01.10</w:t>
      </w:r>
      <w:r>
        <w:rPr>
          <w:rStyle w:val="21"/>
          <w:rFonts w:cs="Times New Roman"/>
          <w:b w:val="false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rFonts w:cs="Times New Roman"/>
          <w:bCs/>
          <w:sz w:val="28"/>
          <w:szCs w:val="28"/>
          <w:u w:val="none"/>
          <w:lang w:val="ru-RU" w:eastAsia="ru-RU" w:bidi="ar-SA"/>
        </w:rPr>
        <w:t>Слесарь по обслуживанию и ремонту подвижного состава</w:t>
      </w:r>
    </w:p>
    <w:p>
      <w:pPr>
        <w:pStyle w:val="211"/>
        <w:keepNext w:val="true"/>
        <w:keepLines/>
        <w:tabs>
          <w:tab w:val="clear" w:pos="720"/>
          <w:tab w:val="left" w:pos="1230" w:leader="none"/>
        </w:tabs>
        <w:bidi w:val="0"/>
        <w:ind w:left="0" w:right="0" w:hanging="0"/>
        <w:rPr/>
      </w:pP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 xml:space="preserve">         </w:t>
      </w: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4.1Учебный план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3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3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Style23"/>
        <w:bidi w:val="0"/>
        <w:spacing w:lineRule="exact" w:line="322" w:before="0" w:after="0"/>
        <w:ind w:left="20" w:right="138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>
      <w:pPr>
        <w:pStyle w:val="Style23"/>
        <w:bidi w:val="0"/>
        <w:spacing w:lineRule="exact" w:line="322" w:before="0" w:after="180"/>
        <w:ind w:left="20" w:right="32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Максимальный объем обязательной аудиторной учебной нагрузки обучаю</w:t>
        <w:softHyphen/>
        <w:t>щихся при очной форме обучения составляет 36 академических часов в неделю.</w:t>
      </w:r>
    </w:p>
    <w:p>
      <w:pPr>
        <w:pStyle w:val="Style23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При получении обучающимися среднего (полного) общего образования в состав учебного плана входит общеобразовательный цикл.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Организация учебного процесса и режим занятий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Начало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>
        <w:rPr>
          <w:color w:val="auto"/>
          <w:sz w:val="28"/>
          <w:szCs w:val="28"/>
        </w:rPr>
        <w:t>составляет 147 недель.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Продолжительность учебной </w:t>
      </w:r>
      <w:r>
        <w:rPr>
          <w:color w:val="auto"/>
          <w:sz w:val="28"/>
          <w:szCs w:val="28"/>
        </w:rPr>
        <w:t>недели – пятидневная. Продолжительность 1 часа учебных занятий составляет 45 минут</w:t>
      </w:r>
      <w:r>
        <w:rPr>
          <w:color w:val="C00000"/>
          <w:sz w:val="28"/>
          <w:szCs w:val="28"/>
        </w:rPr>
        <w:t>.</w:t>
      </w:r>
      <w:r>
        <w:rPr>
          <w:sz w:val="28"/>
          <w:szCs w:val="28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Общая продолжительность каникул составляет не менее 24 недель, из которых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курсах по 11 недель, на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- 2 недели, в том числе не менее 2 недель в зимний период.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Общий объём практики 39 недель. Учебная практика - 15 недель, из которых на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  <w:lang w:val="en-US"/>
        </w:rPr>
        <w:t>II</w:t>
      </w:r>
      <w:r>
        <w:rPr>
          <w:color w:val="auto"/>
          <w:sz w:val="28"/>
          <w:szCs w:val="28"/>
        </w:rPr>
        <w:t xml:space="preserve"> курсах – по 6,2 недели,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- 2,6 недели. Производственная практика – 24 недели, их которых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курсе – 3 недели,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- 21 неделя.</w:t>
      </w:r>
    </w:p>
    <w:p>
      <w:pPr>
        <w:pStyle w:val="Default"/>
        <w:bidi w:val="0"/>
        <w:ind w:left="0" w:right="0" w:hanging="0"/>
        <w:jc w:val="both"/>
        <w:rPr/>
      </w:pPr>
      <w:r>
        <w:rPr>
          <w:color w:val="auto"/>
          <w:sz w:val="28"/>
          <w:szCs w:val="28"/>
        </w:rPr>
        <w:t xml:space="preserve">         </w:t>
      </w:r>
      <w:r>
        <w:rPr>
          <w:color w:val="auto"/>
          <w:sz w:val="28"/>
          <w:szCs w:val="28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Объём времени (180 часов), отведённый на промежуточную аттестацию, составляет 5 недель, из которых на </w:t>
      </w: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  <w:lang w:val="en-US"/>
        </w:rPr>
        <w:t>II</w:t>
      </w:r>
      <w:r>
        <w:rPr>
          <w:color w:val="auto"/>
          <w:sz w:val="28"/>
          <w:szCs w:val="28"/>
        </w:rPr>
        <w:t xml:space="preserve"> курсах по 2 недели, на </w:t>
      </w:r>
      <w:r>
        <w:rPr>
          <w:color w:val="auto"/>
          <w:sz w:val="28"/>
          <w:szCs w:val="28"/>
          <w:lang w:val="en-US"/>
        </w:rPr>
        <w:t>III</w:t>
      </w:r>
      <w:r>
        <w:rPr>
          <w:color w:val="auto"/>
          <w:sz w:val="28"/>
          <w:szCs w:val="28"/>
        </w:rPr>
        <w:t xml:space="preserve"> - 1 неделя. 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Промежуточная аттестация в форме экзамена проводится в</w:t>
      </w:r>
      <w:r>
        <w:rPr>
          <w:sz w:val="28"/>
          <w:szCs w:val="28"/>
        </w:rPr>
        <w:t xml:space="preserve"> день, освобождённый от других форм учебной нагрузки; </w:t>
      </w:r>
      <w:r>
        <w:rPr>
          <w:color w:val="auto"/>
          <w:sz w:val="28"/>
          <w:szCs w:val="28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Государственная </w:t>
      </w:r>
      <w:r>
        <w:rPr>
          <w:color w:val="auto"/>
          <w:sz w:val="28"/>
          <w:szCs w:val="28"/>
        </w:rPr>
        <w:t>итоговая аттестация – 2 недели (72 часа).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jc w:val="both"/>
        <w:outlineLvl w:val="0"/>
        <w:rPr/>
      </w:pPr>
      <w:r>
        <w:rPr>
          <w:rFonts w:cs="Times New Roman" w:ascii="Times New Roman" w:hAnsi="Times New Roman"/>
          <w:sz w:val="28"/>
          <w:szCs w:val="28"/>
        </w:rPr>
        <w:t>Формой государственной аттестации является выпускная квалификационная работа (выпускная практическая квалификационная работа и письменная экзаменационная работа). Государственный экзамен вводится по усмотрению образовательной организации.</w:t>
      </w:r>
    </w:p>
    <w:p>
      <w:pPr>
        <w:pStyle w:val="Default"/>
        <w:bidi w:val="0"/>
        <w:ind w:left="0" w:right="0" w:hanging="0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 xml:space="preserve">                                              </w:t>
      </w:r>
      <w:r>
        <w:rPr>
          <w:b/>
          <w:color w:val="auto"/>
          <w:sz w:val="28"/>
          <w:szCs w:val="28"/>
        </w:rPr>
        <w:t>Общеобразовательный цикл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технологического профиля образовательной программы составляет 2052 часа и включает: </w:t>
      </w:r>
    </w:p>
    <w:tbl>
      <w:tblPr>
        <w:tblW w:w="9571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Общие учебные дисциплины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 xml:space="preserve">Профильные </w:t>
            </w:r>
          </w:p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дисциплины</w:t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Дополнительные дисциплины по выбору обучающихся</w:t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Русский язык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Математика</w:t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Организация проектной деятельности</w:t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Литература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Физика</w:t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Основы финансовой грамотности</w:t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Иностранный язык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Информатика</w:t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Психология общения</w:t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История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Родной язык</w:t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Обществознание (включая экономику и право)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Химия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Биология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География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Экология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Физическая культура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Основы безопасности жизнедеятельности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3190" w:type="dxa"/>
            <w:tcBorders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/>
              <w:t>Астрономия</w:t>
            </w:r>
          </w:p>
        </w:tc>
        <w:tc>
          <w:tcPr>
            <w:tcW w:w="31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191" w:type="dxa"/>
            <w:tcBorders>
              <w:lef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</w:tbl>
    <w:p>
      <w:pPr>
        <w:pStyle w:val="Default"/>
        <w:widowControl w:val="false"/>
        <w:bidi w:val="0"/>
        <w:ind w:left="0" w:right="0" w:firstLine="709"/>
        <w:jc w:val="both"/>
        <w:rPr/>
      </w:pPr>
      <w:r>
        <w:rPr/>
        <w:t xml:space="preserve">В </w:t>
      </w:r>
      <w:r>
        <w:rPr>
          <w:sz w:val="28"/>
          <w:szCs w:val="28"/>
        </w:rPr>
        <w:t xml:space="preserve">период обучения с юношами проводятся учебные сборы в соответствии с </w:t>
      </w:r>
      <w:hyperlink r:id="rId5">
        <w:r>
          <w:rPr>
            <w:sz w:val="28"/>
            <w:szCs w:val="28"/>
          </w:rPr>
          <w:t>пункт 1 статьи 13</w:t>
        </w:r>
      </w:hyperlink>
      <w:r>
        <w:rPr>
          <w:sz w:val="28"/>
          <w:szCs w:val="28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Default"/>
        <w:bidi w:val="0"/>
        <w:ind w:left="0" w:right="0" w:firstLine="709"/>
        <w:jc w:val="center"/>
        <w:rPr/>
      </w:pPr>
      <w:r>
        <w:rPr>
          <w:b/>
          <w:sz w:val="28"/>
          <w:szCs w:val="28"/>
        </w:rPr>
        <w:t xml:space="preserve">Формирование вариативной части ППКРС 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Обязательная часть ППКРС должна составлять около 80 процентов от общего объема времени, отведенного на ее освоение. Вариативная часть (около 20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Общепрофессиональный учебный цикл состоит из общепрофессиональных дисциплин, профессиональный учебный цикл состоит из профессиональных модулей в соответствии с видами деятельности, соответствующими присваиваемым квалификациям.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sz w:val="28"/>
          <w:szCs w:val="28"/>
        </w:rPr>
        <w:t>Обязательная часть профессионального учебного цикла ППКРС должна предусматривать изучение дисциплины "Безопасность жизнедеятельности". Объем часов на дисциплину "Безопасность жизнедеятельности" составляет 2 часа в неделю в период теоретического обучения (обязательной части учебных циклов), но не более 68 часов, из них на освоение основ военной службы - 70 процентов от общего объема времени, отведенного на указанную дисциплину.</w:t>
      </w:r>
    </w:p>
    <w:p>
      <w:pPr>
        <w:pStyle w:val="Default"/>
        <w:bidi w:val="0"/>
        <w:ind w:left="0" w:right="0" w:hanging="0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ФГОС по профессии 23.01.10 Слесарь по обслуживанию и ремонту подвижного состава </w:t>
      </w:r>
      <w:r>
        <w:rPr>
          <w:color w:val="auto"/>
          <w:sz w:val="28"/>
          <w:szCs w:val="28"/>
        </w:rPr>
        <w:t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них 2052 часа – для получения среднего общего образования и 2124 часа на освоение общепрофессионального и профессионального циклов.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>
      <w:pPr>
        <w:pStyle w:val="Default"/>
        <w:numPr>
          <w:ilvl w:val="0"/>
          <w:numId w:val="5"/>
        </w:numPr>
        <w:bidi w:val="0"/>
        <w:ind w:left="720" w:right="0" w:hanging="360"/>
        <w:jc w:val="both"/>
        <w:rPr/>
      </w:pPr>
      <w:r>
        <w:rPr>
          <w:color w:val="auto"/>
          <w:sz w:val="28"/>
          <w:szCs w:val="28"/>
        </w:rPr>
        <w:t>1404 часа выделено на проведение учебной и производственной практики:</w:t>
      </w:r>
    </w:p>
    <w:tbl>
      <w:tblPr>
        <w:tblW w:w="9497" w:type="dxa"/>
        <w:jc w:val="left"/>
        <w:tblInd w:w="7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  <w:gridCol w:w="2175"/>
        <w:gridCol w:w="3346"/>
      </w:tblGrid>
      <w:tr>
        <w:trPr>
          <w:trHeight w:val="450" w:hRule="atLeast"/>
        </w:trPr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профессионального модуля</w:t>
            </w:r>
          </w:p>
        </w:tc>
        <w:tc>
          <w:tcPr>
            <w:tcW w:w="5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3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учебная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производственная</w:t>
            </w:r>
          </w:p>
        </w:tc>
      </w:tr>
      <w:tr>
        <w:trPr/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ПМ. 01</w:t>
            </w:r>
            <w:r>
              <w:rPr>
                <w:rFonts w:cs="Times New Roman" w:ascii="Times New Roman" w:hAnsi="Times New Roman"/>
                <w:color w:val="333333"/>
                <w:shd w:fill="FFFFFF" w:val="clear"/>
              </w:rPr>
              <w:t xml:space="preserve"> 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(102часа)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(144часа)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(325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  <w:r>
              <w:rPr>
                <w:rFonts w:cs="Times New Roman" w:ascii="Times New Roman" w:hAnsi="Times New Roman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(576 часов)</w:t>
            </w:r>
          </w:p>
        </w:tc>
      </w:tr>
      <w:tr>
        <w:trPr/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ПМ. 02</w:t>
            </w:r>
            <w:r>
              <w:rPr>
                <w:rFonts w:cs="Times New Roman" w:ascii="Times New Roman" w:hAnsi="Times New Roman"/>
                <w:color w:val="333333"/>
                <w:shd w:fill="FFFFFF" w:val="clear"/>
              </w:rPr>
              <w:t xml:space="preserve"> Контроль качества отремонтированных узлов обслуживаемого оборудования, электрических машин, аппаратов, механизмов и приборов подвижного состава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III</w:t>
            </w:r>
            <w:r>
              <w:rPr>
                <w:rFonts w:cs="Times New Roman" w:ascii="Times New Roman" w:hAnsi="Times New Roman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(257 часов)</w:t>
            </w:r>
          </w:p>
        </w:tc>
      </w:tr>
    </w:tbl>
    <w:p>
      <w:pPr>
        <w:pStyle w:val="Default"/>
        <w:widowControl w:val="false"/>
        <w:numPr>
          <w:ilvl w:val="0"/>
          <w:numId w:val="5"/>
        </w:numPr>
        <w:bidi w:val="0"/>
        <w:ind w:left="720" w:right="0" w:hanging="360"/>
        <w:jc w:val="both"/>
        <w:rPr/>
      </w:pPr>
      <w:r>
        <w:rPr>
          <w:color w:val="auto"/>
        </w:rPr>
        <w:t>По ФГОС СПО на профессию 23.01.10 Слесарь по обслуживанию и ремонту подвижного состава отводится 144 часа вариативной части, которые распределяются: 66 часов – на общепрофессиональный учебный цикл:</w:t>
      </w:r>
    </w:p>
    <w:tbl>
      <w:tblPr>
        <w:tblW w:w="9497" w:type="dxa"/>
        <w:jc w:val="left"/>
        <w:tblInd w:w="7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6313"/>
        <w:gridCol w:w="2215"/>
      </w:tblGrid>
      <w:tr>
        <w:trPr/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Индекс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Наименование дисциплины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Количество часов</w:t>
            </w:r>
          </w:p>
        </w:tc>
      </w:tr>
      <w:tr>
        <w:trPr/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ОП.09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Общий курс железных дорог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36</w:t>
            </w:r>
          </w:p>
        </w:tc>
      </w:tr>
      <w:tr>
        <w:trPr/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ОП.10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Техническая эксплуатация железных дорог и безопасность движения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36</w:t>
            </w:r>
          </w:p>
        </w:tc>
      </w:tr>
    </w:tbl>
    <w:p>
      <w:pPr>
        <w:pStyle w:val="Default"/>
        <w:widowControl w:val="false"/>
        <w:numPr>
          <w:ilvl w:val="0"/>
          <w:numId w:val="5"/>
        </w:numPr>
        <w:bidi w:val="0"/>
        <w:ind w:left="720" w:right="0" w:hanging="360"/>
        <w:jc w:val="both"/>
        <w:rPr/>
      </w:pPr>
      <w:r>
        <w:rPr>
          <w:color w:val="auto"/>
        </w:rPr>
        <w:t>72 часа – на изучение междисциплинарных курсов в рамках профессионального модуля:</w:t>
      </w:r>
    </w:p>
    <w:tbl>
      <w:tblPr>
        <w:tblW w:w="9497" w:type="dxa"/>
        <w:jc w:val="left"/>
        <w:tblInd w:w="7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5864"/>
        <w:gridCol w:w="2279"/>
      </w:tblGrid>
      <w:tr>
        <w:trPr/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Индекс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Наименование междисциплинарного курса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Количество часов</w:t>
            </w:r>
          </w:p>
        </w:tc>
      </w:tr>
      <w:tr>
        <w:trPr/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МДК.01.01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lang w:eastAsia="ru-RU"/>
              </w:rPr>
              <w:t>Конструкция, устройство, техническое обслуживание и ремонт подвижного состава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36</w:t>
            </w:r>
          </w:p>
        </w:tc>
      </w:tr>
      <w:tr>
        <w:trPr/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</w:rPr>
              <w:t>МДК.02.01</w:t>
            </w:r>
          </w:p>
        </w:tc>
        <w:tc>
          <w:tcPr>
            <w:tcW w:w="5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rPr/>
            </w:pPr>
            <w:r>
              <w:rPr>
                <w:color w:val="auto"/>
              </w:rPr>
              <w:t>Виды и технология диагностики технического состояния узлов и деталей подвижного состава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color w:val="auto"/>
              </w:rPr>
              <w:t>36</w:t>
            </w:r>
          </w:p>
        </w:tc>
      </w:tr>
    </w:tbl>
    <w:p>
      <w:pPr>
        <w:pStyle w:val="Normal"/>
        <w:widowControl w:val="false"/>
        <w:numPr>
          <w:ilvl w:val="0"/>
          <w:numId w:val="0"/>
        </w:numPr>
        <w:bidi w:val="0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</w:rPr>
        <w:t>Организация промежуточной и итоговой аттестации</w:t>
      </w:r>
    </w:p>
    <w:p>
      <w:pPr>
        <w:pStyle w:val="Normal"/>
        <w:tabs>
          <w:tab w:val="clear" w:pos="720"/>
          <w:tab w:val="left" w:pos="998" w:leader="none"/>
        </w:tabs>
        <w:bidi w:val="0"/>
        <w:ind w:left="0" w:right="23" w:firstLine="998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Оценка качества освоения учебных дисциплин и профессиональных модулей по ППКРС осуществляется в процессе текущего контроля и промежуточной аттестации.</w:t>
      </w:r>
    </w:p>
    <w:p>
      <w:pPr>
        <w:pStyle w:val="Normal"/>
        <w:tabs>
          <w:tab w:val="clear" w:pos="720"/>
          <w:tab w:val="left" w:pos="998" w:leader="none"/>
        </w:tabs>
        <w:bidi w:val="0"/>
        <w:spacing w:lineRule="exact" w:line="322"/>
        <w:ind w:left="0" w:right="2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Текущий контроль предусматривает систематическую проверку знаний и умений, обучающихся по всем изучаемым в данном семестре дисциплинам и междисциплинарным курсам (далее- МДК) учебного плана.</w:t>
      </w:r>
    </w:p>
    <w:p>
      <w:pPr>
        <w:pStyle w:val="Normal"/>
        <w:tabs>
          <w:tab w:val="clear" w:pos="720"/>
          <w:tab w:val="left" w:pos="998" w:leader="none"/>
        </w:tabs>
        <w:bidi w:val="0"/>
        <w:spacing w:lineRule="exact" w:line="322"/>
        <w:ind w:left="0" w:right="2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Текущий контроль успеваемости осуществляется преподавателем на любом из видов учебных занятий в форме контрольных работ, самостоятельных работ, практических занятий и лабораторных работ, письменного и устного опроса за счет времени, отведенного на их изучение. Конкретные формы и процедуры текущего контроля успеваемости разрабатываются преподавателем, исходя из специфики дисциплины и МДК.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модули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Количество экзаменов в каждом учебном году в процессе промежуточной аттестации по очной форме обучения не превышают -8, количество зачетов (З) и дифференцированных зачетов (ДЗ) -10 (в данное количество не входят зачеты по физической культуре), также промежуточная аттестация может проходить и в других формах (Д) (контрольные работы, тесты и т.д.).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 организацией фондами оценочных средств, позволяющими оценить достижения, запланированных по отдельным дисциплинам, модулям и практикам результатов обучения.</w:t>
      </w:r>
    </w:p>
    <w:p>
      <w:pPr>
        <w:pStyle w:val="Normal"/>
        <w:bidi w:val="0"/>
        <w:ind w:left="0" w:right="0"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Промежуточная аттестация в форме экзамена проводится в день, освобождённый от других форм учебной нагрузки; в форме зачёта, дифференцированного зачёта – за счёт часов, отведённых на освоение соответствующего модуля или дисциплины. 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обучающихся определяются образовательной организацией самостоятельно.</w:t>
      </w:r>
    </w:p>
    <w:p>
      <w:pPr>
        <w:pStyle w:val="Normal"/>
        <w:bidi w:val="0"/>
        <w:spacing w:lineRule="exact" w:line="322"/>
        <w:ind w:left="0" w:right="2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окончании освоения ППССЗ проводится государственная итоговая аттестация в форме защиты выпускной квалификационной работы в виде дипломной работы.</w:t>
      </w:r>
      <w:r>
        <w:rPr>
          <w:rFonts w:cs="Times New Roman" w:ascii="Times New Roman" w:hAnsi="Times New Roman"/>
          <w:sz w:val="28"/>
          <w:szCs w:val="28"/>
        </w:rPr>
        <w:t xml:space="preserve">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>
      <w:pPr>
        <w:pStyle w:val="Normal"/>
        <w:bidi w:val="0"/>
        <w:spacing w:lineRule="exact" w:line="322"/>
        <w:ind w:left="0" w:right="20" w:firstLine="567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 государственной итоговой аттестации допускается студент, не имеющий академической задолженности и в полном объёме выполнивший учебный план или индивидуальный учебный план по осваиваемой образовательной программе среднего профессионального образования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</w:rPr>
        <w:t>Формы проведения консультаций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outlineLvl w:val="0"/>
        <w:rPr/>
      </w:pPr>
      <w:r>
        <w:rPr>
          <w:rFonts w:cs="Times New Roman" w:ascii="Times New Roman" w:hAnsi="Times New Roman"/>
          <w:sz w:val="28"/>
          <w:szCs w:val="28"/>
        </w:rPr>
        <w:t xml:space="preserve">Консультации предусматриваются на учебную группу по 4 часа на одного обучающегося на каждый учебный год. Формы и тематика проведения консультаций определяются преподавателем. </w:t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>дарта среднего профессионального образования по профессии 23.01</w:t>
      </w:r>
      <w:r>
        <w:rPr>
          <w:rStyle w:val="115pt1"/>
          <w:rFonts w:cs="Times New Roman"/>
          <w:b w:val="false"/>
          <w:color w:val="FF0000"/>
          <w:sz w:val="28"/>
          <w:szCs w:val="28"/>
          <w:u w:val="none"/>
          <w:lang w:val="ru-RU" w:eastAsia="ru-RU" w:bidi="ar-SA"/>
        </w:rPr>
        <w:t>.</w:t>
      </w: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10</w:t>
      </w:r>
      <w:r>
        <w:rPr/>
        <w:t xml:space="preserve"> </w:t>
      </w: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Слесарь по обслуживанию и ремонту подвижного состава.</w:t>
      </w:r>
    </w:p>
    <w:p>
      <w:pPr>
        <w:pStyle w:val="41"/>
        <w:numPr>
          <w:ilvl w:val="0"/>
          <w:numId w:val="6"/>
        </w:numPr>
        <w:tabs>
          <w:tab w:val="clear" w:pos="720"/>
          <w:tab w:val="left" w:pos="965" w:leader="none"/>
        </w:tabs>
        <w:bidi w:val="0"/>
        <w:spacing w:before="0" w:after="0"/>
        <w:ind w:left="1080" w:right="0" w:hanging="360"/>
        <w:jc w:val="both"/>
        <w:rPr/>
      </w:pP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965" w:leader="none"/>
        </w:tabs>
        <w:bidi w:val="0"/>
        <w:spacing w:before="0" w:after="0"/>
        <w:ind w:left="72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>5.1</w:t>
      </w:r>
      <w:r>
        <w:rPr>
          <w:rStyle w:val="4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spacing w:lineRule="exact" w:line="322" w:before="0" w:after="120"/>
        <w:ind w:left="375" w:right="1120" w:hanging="0"/>
        <w:jc w:val="left"/>
        <w:rPr/>
      </w:pPr>
      <w:bookmarkStart w:id="8" w:name="bookmark15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 xml:space="preserve">     </w:t>
      </w: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5.2Учебно-методическое и информационное обеспечение учебного процесса</w:t>
      </w:r>
      <w:bookmarkEnd w:id="8"/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знаний, обучающихся: входной, текущий, промежуточный, тематический, итоговый.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</w:t>
        <w:softHyphen/>
        <w:t>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в течение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numPr>
          <w:ilvl w:val="1"/>
          <w:numId w:val="7"/>
        </w:numPr>
        <w:tabs>
          <w:tab w:val="clear" w:pos="720"/>
          <w:tab w:val="left" w:pos="1215" w:leader="none"/>
        </w:tabs>
        <w:bidi w:val="0"/>
        <w:spacing w:before="0" w:after="0"/>
        <w:ind w:left="1815" w:right="0" w:hanging="375"/>
        <w:jc w:val="both"/>
        <w:rPr/>
      </w:pPr>
      <w:bookmarkStart w:id="9" w:name="bookmark16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  <w:bookmarkEnd w:id="9"/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кабинеты русского зыка и литературы, математики, истории и обществознания, биологии и химии, физики, иностранного языка, электротехники, техническое черчение, охраны труда, общий курс железных дорог, конструкции локомотива, автоматические тормоза.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 мастерские: слесарная, электромонтажная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  библиотека с читальным залом.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numPr>
          <w:ilvl w:val="0"/>
          <w:numId w:val="6"/>
        </w:numPr>
        <w:tabs>
          <w:tab w:val="clear" w:pos="720"/>
          <w:tab w:val="left" w:pos="1014" w:leader="none"/>
        </w:tabs>
        <w:bidi w:val="0"/>
        <w:spacing w:before="0" w:after="0"/>
        <w:ind w:left="1080" w:right="0" w:hanging="360"/>
        <w:jc w:val="both"/>
        <w:rPr/>
      </w:pPr>
      <w:bookmarkStart w:id="10" w:name="bookmark17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 23.01.10 Слесарь по обслуживанию и ремонту подвижного состава</w:t>
      </w:r>
      <w:bookmarkEnd w:id="10"/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ФГОС СПО по профессии 23.01.10 Слесарь по обслуживанию и ремонту подвижного состава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1440" w:right="0" w:hanging="0"/>
        <w:rPr/>
      </w:pPr>
      <w:bookmarkStart w:id="11" w:name="bookmark18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6.1 Текущий контроль успеваемости и промежуточная аттестация</w:t>
      </w:r>
      <w:bookmarkEnd w:id="11"/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1440" w:right="0" w:hanging="0"/>
        <w:rPr/>
      </w:pPr>
      <w:bookmarkStart w:id="12" w:name="bookmark19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6.2 Порядок аттестации студентов</w:t>
      </w:r>
      <w:bookmarkEnd w:id="12"/>
      <w:r>
        <w:rPr/>
        <w:t xml:space="preserve"> </w:t>
      </w: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Слесарь по обслуживанию и ремонту подвижного состава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Обязательными считаются экзамены по русскому языку (письменно), математике (письменно), физике (устно).</w:t>
      </w:r>
    </w:p>
    <w:p>
      <w:pPr>
        <w:pStyle w:val="Style23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rFonts w:cs="Times New Roman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numPr>
          <w:ilvl w:val="1"/>
          <w:numId w:val="8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1815" w:right="0" w:hanging="375"/>
        <w:jc w:val="both"/>
        <w:rPr/>
      </w:pPr>
      <w:bookmarkStart w:id="13" w:name="bookmark20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Итоговая государственная аттестация выпускников ППКРС СПО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0" w:right="0" w:hanging="0"/>
        <w:rPr/>
      </w:pPr>
      <w:bookmarkStart w:id="14" w:name="bookmark20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 xml:space="preserve">по профессии </w:t>
      </w:r>
      <w:bookmarkEnd w:id="14"/>
      <w:r>
        <w:rPr>
          <w:rStyle w:val="21"/>
          <w:rFonts w:cs="Times New Roman"/>
          <w:b/>
          <w:color w:val="000000"/>
          <w:sz w:val="28"/>
          <w:szCs w:val="28"/>
          <w:u w:val="none"/>
          <w:lang w:val="ru-RU" w:eastAsia="ru-RU" w:bidi="ar-SA"/>
        </w:rPr>
        <w:t>23.01.10 Слесарь по обслуживанию и ремонту подвижного состава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итоговой аттестацией обучающихся.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итоговой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итоговая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слесарь по ремонту подвижного состава - 3 разряд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осмотрщик – ремонтник вагонов -3 разряд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rFonts w:cs="Times New Roman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sectPr>
          <w:type w:val="continuous"/>
          <w:pgSz w:w="11906" w:h="16838"/>
          <w:pgMar w:left="1181" w:right="1181" w:gutter="0" w:header="0" w:top="703" w:footer="0" w:bottom="703"/>
          <w:formProt w:val="false"/>
          <w:textDirection w:val="lrTb"/>
          <w:docGrid w:type="default" w:linePitch="600" w:charSpace="32768"/>
        </w:sectPr>
      </w:pPr>
    </w:p>
    <w:p>
      <w:pPr>
        <w:pStyle w:val="Normal"/>
        <w:bidi w:val="0"/>
        <w:ind w:left="0" w:right="0" w:hanging="0"/>
        <w:rPr/>
      </w:pPr>
      <w:r>
        <w:rPr/>
      </w:r>
    </w:p>
    <w:sectPr>
      <w:type w:val="continuous"/>
      <w:pgSz w:w="11906" w:h="16838"/>
      <w:pgMar w:left="1181" w:right="1181" w:gutter="0" w:header="0" w:top="703" w:footer="3" w:bottom="703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Calibri Light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 CYR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6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4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16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4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16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5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7">
    <w:lvl w:ilvl="0">
      <w:start w:val="5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81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  <w:rPr>
        <w:rFonts w:cs="Times New Roman"/>
      </w:rPr>
    </w:lvl>
  </w:abstractNum>
  <w:abstractNum w:abstractNumId="8">
    <w:lvl w:ilvl="0">
      <w:start w:val="6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81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  <w:rPr>
        <w:rFonts w:cs="Times New Roman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Symbol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qFormat/>
    <w:rPr>
      <w:rFonts w:ascii="Times New Roman" w:hAnsi="Times New Roman"/>
      <w:b/>
      <w:sz w:val="23"/>
      <w:u w:val="none"/>
    </w:rPr>
  </w:style>
  <w:style w:type="character" w:styleId="3">
    <w:name w:val="Основной текст (3)_"/>
    <w:qFormat/>
    <w:rPr>
      <w:rFonts w:ascii="Times New Roman" w:hAnsi="Times New Roman"/>
      <w:sz w:val="23"/>
      <w:u w:val="none"/>
    </w:rPr>
  </w:style>
  <w:style w:type="character" w:styleId="4">
    <w:name w:val="Основной текст (4)_"/>
    <w:qFormat/>
    <w:rPr>
      <w:rFonts w:ascii="Times New Roman" w:hAnsi="Times New Roman"/>
      <w:b/>
      <w:sz w:val="27"/>
      <w:u w:val="none"/>
    </w:rPr>
  </w:style>
  <w:style w:type="character" w:styleId="115pt1">
    <w:name w:val="Основной текст + 11,5 pt1,Полужирный"/>
    <w:qFormat/>
    <w:rPr>
      <w:rFonts w:ascii="Times New Roman" w:hAnsi="Times New Roman"/>
      <w:b/>
      <w:sz w:val="23"/>
      <w:u w:val="none"/>
    </w:rPr>
  </w:style>
  <w:style w:type="character" w:styleId="Style15">
    <w:name w:val="Колонтитул_"/>
    <w:qFormat/>
    <w:rPr>
      <w:rFonts w:ascii="Times New Roman" w:hAnsi="Times New Roman"/>
      <w:b/>
      <w:sz w:val="20"/>
      <w:u w:val="none"/>
      <w:lang w:val="ru-RU" w:eastAsia="ru-RU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qFormat/>
    <w:rPr>
      <w:rFonts w:ascii="Times New Roman" w:hAnsi="Times New Roman"/>
      <w:b/>
      <w:sz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1">
    <w:name w:val="Заголовок №1_"/>
    <w:qFormat/>
    <w:rPr>
      <w:rFonts w:ascii="Times New Roman" w:hAnsi="Times New Roman"/>
      <w:b/>
      <w:sz w:val="27"/>
      <w:u w:val="none"/>
    </w:rPr>
  </w:style>
  <w:style w:type="character" w:styleId="Style18">
    <w:name w:val="Гипертекстовая ссылка"/>
    <w:qFormat/>
    <w:rPr>
      <w:color w:val="106BBE"/>
    </w:rPr>
  </w:style>
  <w:style w:type="character" w:styleId="Style19">
    <w:name w:val="Текст выноски Знак"/>
    <w:basedOn w:val="DefaultParagraphFont"/>
    <w:qFormat/>
    <w:rPr>
      <w:rFonts w:ascii="Segoe UI" w:hAnsi="Segoe UI" w:cs="Segoe UI"/>
      <w:color w:val="000000"/>
      <w:sz w:val="18"/>
      <w:szCs w:val="18"/>
      <w:lang w:eastAsia="en-US"/>
    </w:rPr>
  </w:style>
  <w:style w:type="character" w:styleId="11">
    <w:name w:val="Основной текст Знак1"/>
    <w:qFormat/>
    <w:rPr>
      <w:rFonts w:ascii="Times New Roman" w:hAnsi="Times New Roman"/>
      <w:sz w:val="27"/>
      <w:shd w:fill="FFFFFF" w:val="clear"/>
    </w:rPr>
  </w:style>
  <w:style w:type="character" w:styleId="9">
    <w:name w:val="Основной текст (9)_"/>
    <w:qFormat/>
    <w:rPr>
      <w:rFonts w:ascii="Times New Roman" w:hAnsi="Times New Roman"/>
      <w:i/>
      <w:sz w:val="27"/>
      <w:shd w:fill="FFFFFF" w:val="clear"/>
    </w:rPr>
  </w:style>
  <w:style w:type="character" w:styleId="Style20">
    <w:name w:val="Подпись к таблице_"/>
    <w:qFormat/>
    <w:rPr>
      <w:rFonts w:ascii="Times New Roman" w:hAnsi="Times New Roman"/>
      <w:sz w:val="27"/>
      <w:shd w:fill="FFFFFF" w:val="clear"/>
    </w:rPr>
  </w:style>
  <w:style w:type="character" w:styleId="4pt">
    <w:name w:val="Основной текст + 4 pt"/>
    <w:qFormat/>
    <w:rPr>
      <w:rFonts w:ascii="Times New Roman" w:hAnsi="Times New Roman"/>
      <w:sz w:val="8"/>
      <w:shd w:fill="FFFFFF" w:val="clear"/>
    </w:rPr>
  </w:style>
  <w:style w:type="character" w:styleId="Normaltextrun">
    <w:name w:val="normaltextrun"/>
    <w:qFormat/>
    <w:rPr/>
  </w:style>
  <w:style w:type="character" w:styleId="Eop">
    <w:name w:val="eop"/>
    <w:qFormat/>
    <w:rPr/>
  </w:style>
  <w:style w:type="character" w:styleId="Scxw160770554">
    <w:name w:val="scxw160770554"/>
    <w:qFormat/>
    <w:rPr/>
  </w:style>
  <w:style w:type="character" w:styleId="Spellingerror">
    <w:name w:val="spellingerror"/>
    <w:qFormat/>
    <w:rPr/>
  </w:style>
  <w:style w:type="character" w:styleId="Style21">
    <w:name w:val="Заголовок Знак"/>
    <w:qFormat/>
    <w:rPr>
      <w:rFonts w:ascii="Calibri Light" w:hAnsi="Calibri Light"/>
      <w:spacing w:val="-10"/>
      <w:kern w:val="2"/>
      <w:sz w:val="56"/>
    </w:rPr>
  </w:style>
  <w:style w:type="character" w:styleId="12">
    <w:name w:val="Заголовок Знак1"/>
    <w:basedOn w:val="DefaultParagraphFont"/>
    <w:qFormat/>
    <w:rPr>
      <w:rFonts w:ascii="Calibri Light" w:hAnsi="Calibri Light" w:eastAsia="Times New Roman" w:cs="Times New Roman"/>
      <w:b/>
      <w:bCs/>
      <w:kern w:val="2"/>
      <w:sz w:val="32"/>
      <w:szCs w:val="32"/>
    </w:rPr>
  </w:style>
  <w:style w:type="character" w:styleId="121">
    <w:name w:val="Заголовок Знак12"/>
    <w:basedOn w:val="DefaultParagraphFont"/>
    <w:qFormat/>
    <w:rPr>
      <w:rFonts w:ascii="Calibri Light" w:hAnsi="Calibri Light" w:eastAsia="Times New Roman" w:cs="Times New Roman"/>
      <w:b/>
      <w:bCs/>
      <w:kern w:val="2"/>
      <w:sz w:val="32"/>
      <w:szCs w:val="32"/>
    </w:rPr>
  </w:style>
  <w:style w:type="character" w:styleId="111">
    <w:name w:val="Заголовок Знак11"/>
    <w:basedOn w:val="DefaultParagraphFont"/>
    <w:qFormat/>
    <w:rPr>
      <w:rFonts w:ascii="Calibri Light" w:hAnsi="Calibri Light" w:eastAsia="Times New Roman" w:cs="Times New Roman"/>
      <w:b/>
      <w:bCs/>
      <w:kern w:val="2"/>
      <w:sz w:val="32"/>
      <w:szCs w:val="32"/>
    </w:rPr>
  </w:style>
  <w:style w:type="character" w:styleId="13">
    <w:name w:val="Название Знак1"/>
    <w:qFormat/>
    <w:rPr>
      <w:rFonts w:ascii="Cambria" w:hAnsi="Cambria"/>
      <w:spacing w:val="-10"/>
      <w:kern w:val="2"/>
      <w:sz w:val="56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3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4">
    <w:name w:val="List"/>
    <w:basedOn w:val="Style23"/>
    <w:pPr/>
    <w:rPr>
      <w:rFonts w:cs="Noto Sans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Symbol" w:cs="Courier New"/>
      <w:color w:val="auto"/>
      <w:kern w:val="2"/>
      <w:sz w:val="20"/>
      <w:szCs w:val="20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4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7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5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>
      <w:sz w:val="20"/>
      <w:szCs w:val="20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Symbol" w:cs="Times New Roman"/>
      <w:color w:val="000000"/>
      <w:kern w:val="2"/>
      <w:sz w:val="24"/>
      <w:szCs w:val="24"/>
      <w:lang w:val="ru-RU" w:eastAsia="en-US" w:bidi="ar-SA"/>
    </w:rPr>
  </w:style>
  <w:style w:type="paragraph" w:styleId="Style28">
    <w:name w:val="Нормальный (таблица)"/>
    <w:basedOn w:val="Normal"/>
    <w:next w:val="Normal"/>
    <w:qFormat/>
    <w:pPr>
      <w:jc w:val="both"/>
    </w:pPr>
    <w:rPr>
      <w:rFonts w:ascii="Times New Roman CYR" w:hAnsi="Times New Roman CYR" w:cs="Times New Roman CYR"/>
    </w:rPr>
  </w:style>
  <w:style w:type="paragraph" w:styleId="Style29">
    <w:name w:val="Прижатый влево"/>
    <w:basedOn w:val="Normal"/>
    <w:next w:val="Normal"/>
    <w:qFormat/>
    <w:pPr/>
    <w:rPr>
      <w:rFonts w:ascii="Times New Roman CYR" w:hAnsi="Times New Roman CYR" w:eastAsia="Times New Roman" w:cs="Times New Roman CYR"/>
    </w:rPr>
  </w:style>
  <w:style w:type="paragraph" w:styleId="BalloonText">
    <w:name w:val="Balloon Text"/>
    <w:basedOn w:val="Normal"/>
    <w:qFormat/>
    <w:pPr>
      <w:widowControl/>
    </w:pPr>
    <w:rPr>
      <w:rFonts w:ascii="Segoe UI" w:hAnsi="Segoe UI" w:cs="Segoe UI"/>
      <w:sz w:val="18"/>
      <w:szCs w:val="18"/>
      <w:lang w:eastAsia="en-US"/>
    </w:rPr>
  </w:style>
  <w:style w:type="paragraph" w:styleId="91">
    <w:name w:val="Основной текст (9)"/>
    <w:basedOn w:val="Normal"/>
    <w:qFormat/>
    <w:pPr>
      <w:shd w:fill="FFFFFF"/>
      <w:spacing w:lineRule="exact" w:line="322"/>
      <w:jc w:val="both"/>
    </w:pPr>
    <w:rPr>
      <w:rFonts w:cs="Times New Roman"/>
      <w:i/>
      <w:iCs/>
      <w:sz w:val="27"/>
      <w:szCs w:val="27"/>
    </w:rPr>
  </w:style>
  <w:style w:type="paragraph" w:styleId="16">
    <w:name w:val="Подпись к таблице1"/>
    <w:basedOn w:val="Normal"/>
    <w:qFormat/>
    <w:pPr>
      <w:shd w:fill="FFFFFF"/>
      <w:spacing w:lineRule="atLeast" w:line="240"/>
    </w:pPr>
    <w:rPr>
      <w:rFonts w:cs="Times New Roman"/>
      <w:sz w:val="27"/>
      <w:szCs w:val="27"/>
      <w:lang w:eastAsia="en-US"/>
    </w:rPr>
  </w:style>
  <w:style w:type="paragraph" w:styleId="Paragraph">
    <w:name w:val="paragraph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NoSpacing">
    <w:name w:val="No Spacing"/>
    <w:qFormat/>
    <w:pPr>
      <w:widowControl/>
      <w:bidi w:val="0"/>
      <w:jc w:val="left"/>
      <w:textAlignment w:val="auto"/>
    </w:pPr>
    <w:rPr>
      <w:rFonts w:ascii="Calibri" w:hAnsi="Calibri" w:eastAsia="Symbol" w:cs="Times New Roman"/>
      <w:color w:val="auto"/>
      <w:kern w:val="2"/>
      <w:sz w:val="22"/>
      <w:szCs w:val="22"/>
      <w:lang w:val="ru-RU" w:eastAsia="en-US" w:bidi="ar-SA"/>
    </w:rPr>
  </w:style>
  <w:style w:type="paragraph" w:styleId="17">
    <w:name w:val="Название1"/>
    <w:basedOn w:val="Normal"/>
    <w:next w:val="Normal"/>
    <w:qFormat/>
    <w:pPr>
      <w:widowControl/>
      <w:spacing w:before="0" w:after="0"/>
      <w:contextualSpacing/>
    </w:pPr>
    <w:rPr>
      <w:rFonts w:ascii="Calibri Light" w:hAnsi="Calibri Light" w:cs="Times New Roman"/>
      <w:spacing w:val="-10"/>
      <w:kern w:val="2"/>
      <w:sz w:val="56"/>
      <w:szCs w:val="56"/>
      <w:lang w:eastAsia="en-US"/>
    </w:rPr>
  </w:style>
  <w:style w:type="paragraph" w:styleId="ConsPlusNormal">
    <w:name w:val="ConsPlusNormal"/>
    <w:qFormat/>
    <w:pPr>
      <w:widowControl w:val="false"/>
      <w:bidi w:val="0"/>
      <w:jc w:val="left"/>
      <w:textAlignment w:val="auto"/>
    </w:pPr>
    <w:rPr>
      <w:rFonts w:ascii="Calibri" w:hAnsi="Calibri" w:eastAsia="Symbol" w:cs="Calibri"/>
      <w:color w:val="auto"/>
      <w:kern w:val="2"/>
      <w:sz w:val="22"/>
      <w:szCs w:val="20"/>
      <w:lang w:val="ru-RU" w:eastAsia="ru-RU" w:bidi="ar-SA"/>
    </w:rPr>
  </w:style>
  <w:style w:type="paragraph" w:styleId="Style30">
    <w:name w:val="Title"/>
    <w:basedOn w:val="Normal"/>
    <w:next w:val="Normal"/>
    <w:qFormat/>
    <w:pPr>
      <w:widowControl/>
      <w:spacing w:before="0" w:after="0"/>
      <w:contextualSpacing/>
    </w:pPr>
    <w:rPr>
      <w:rFonts w:ascii="Calibri Light" w:hAnsi="Calibri Light" w:cs="Times New Roman"/>
      <w:spacing w:val="-10"/>
      <w:kern w:val="2"/>
      <w:sz w:val="56"/>
      <w:szCs w:val="56"/>
    </w:rPr>
  </w:style>
  <w:style w:type="paragraph" w:styleId="Style31">
    <w:name w:val="Колонтитул"/>
    <w:basedOn w:val="Normal"/>
    <w:qFormat/>
    <w:pPr/>
    <w:rPr/>
  </w:style>
  <w:style w:type="paragraph" w:styleId="Style32">
    <w:name w:val="Footer"/>
    <w:basedOn w:val="Style31"/>
    <w:pPr/>
    <w:rPr/>
  </w:style>
  <w:style w:type="paragraph" w:styleId="Style33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hyperlink" Target="http://internet.garant.ru/document/redirect/1548770/0" TargetMode="External"/><Relationship Id="rId5" Type="http://schemas.openxmlformats.org/officeDocument/2006/relationships/hyperlink" Target="http://ivo.garant.ru/document/redirect/178405/1301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LibreOffice/7.3.7.2$Linux_X86_64 LibreOffice_project/30$Build-2</Application>
  <AppVersion>15.0000</AppVersion>
  <Pages>16</Pages>
  <Words>3988</Words>
  <Characters>30270</Characters>
  <CharactersWithSpaces>34068</CharactersWithSpaces>
  <Paragraphs>349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2021-04-28T16:34:00Z</cp:lastPrinted>
  <dcterms:modified xsi:type="dcterms:W3CDTF">2023-03-22T15:46:00Z</dcterms:modified>
  <cp:revision>13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